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深圳市龙华区关于新形势下加快工业企业技术改造升级的若干措施编制说明</w:t>
      </w:r>
    </w:p>
    <w:p>
      <w:pPr>
        <w:keepNext w:val="0"/>
        <w:keepLines w:val="0"/>
        <w:pageBreakBefore w:val="0"/>
        <w:kinsoku/>
        <w:wordWrap/>
        <w:overflowPunct/>
        <w:topLinePunct w:val="0"/>
        <w:autoSpaceDE/>
        <w:autoSpaceDN/>
        <w:bidi w:val="0"/>
        <w:adjustRightInd/>
        <w:snapToGrid/>
        <w:spacing w:line="560" w:lineRule="exact"/>
        <w:ind w:firstLine="883" w:firstLineChars="200"/>
        <w:textAlignment w:val="auto"/>
        <w:rPr>
          <w:b/>
          <w:bCs/>
          <w:color w:val="000000" w:themeColor="text1"/>
          <w:sz w:val="44"/>
          <w:szCs w:val="44"/>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themeColor="text1"/>
          <w:sz w:val="32"/>
          <w:szCs w:val="32"/>
          <w:lang w:eastAsia="zh-Hans" w:bidi="ar"/>
          <w14:textFill>
            <w14:solidFill>
              <w14:schemeClr w14:val="tx1"/>
            </w14:solidFill>
          </w14:textFill>
        </w:rPr>
      </w:pPr>
      <w:r>
        <w:rPr>
          <w:rFonts w:hint="eastAsia" w:ascii="仿宋_GB2312" w:hAnsi="仿宋_GB2312" w:eastAsia="仿宋_GB2312" w:cs="仿宋_GB2312"/>
          <w:b w:val="0"/>
          <w:bCs w:val="0"/>
          <w:sz w:val="32"/>
          <w:szCs w:val="32"/>
          <w:lang w:eastAsia="zh-CN"/>
        </w:rPr>
        <w:t>近年以来，国家、省、市高度重视企业技术改造工作，将企业技术改造作为新形势下扩大工业有效投资、提升企业核心竞争力、促进产业转型升级的重要途径。</w:t>
      </w:r>
      <w:r>
        <w:rPr>
          <w:rFonts w:hint="eastAsia" w:ascii="仿宋_GB2312" w:hAnsi="仿宋" w:eastAsia="仿宋_GB2312" w:cs="仿宋_GB2312"/>
          <w:color w:val="000000" w:themeColor="text1"/>
          <w:sz w:val="32"/>
          <w:szCs w:val="32"/>
          <w:lang w:eastAsia="zh-CN" w:bidi="ar"/>
          <w14:textFill>
            <w14:solidFill>
              <w14:schemeClr w14:val="tx1"/>
            </w14:solidFill>
          </w14:textFill>
        </w:rPr>
        <w:t>为有效落实</w:t>
      </w:r>
      <w:r>
        <w:rPr>
          <w:rFonts w:hint="eastAsia" w:ascii="仿宋_GB2312" w:hAnsi="仿宋_GB2312" w:eastAsia="仿宋_GB2312" w:cs="仿宋_GB2312"/>
          <w:b w:val="0"/>
          <w:bCs w:val="0"/>
          <w:sz w:val="32"/>
          <w:szCs w:val="32"/>
          <w:lang w:eastAsia="zh-CN"/>
        </w:rPr>
        <w:t>《深圳市龙华区关于新形势下加快工业企业技术改造升级的若干措施》，推动我区企业加大工业投资力度，</w:t>
      </w:r>
      <w:r>
        <w:rPr>
          <w:rFonts w:hint="eastAsia" w:ascii="仿宋_GB2312" w:hAnsi="仿宋" w:eastAsia="仿宋_GB2312" w:cs="仿宋_GB2312"/>
          <w:color w:val="000000" w:themeColor="text1"/>
          <w:sz w:val="32"/>
          <w:szCs w:val="32"/>
          <w:lang w:eastAsia="zh-Hans" w:bidi="ar"/>
          <w14:textFill>
            <w14:solidFill>
              <w14:schemeClr w14:val="tx1"/>
            </w14:solidFill>
          </w14:textFill>
        </w:rPr>
        <w:t>我局组织编制了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深圳市龙华区</w:t>
      </w:r>
      <w:bookmarkStart w:id="0" w:name="_Toc15919"/>
      <w:r>
        <w:rPr>
          <w:rFonts w:hint="eastAsia" w:ascii="仿宋_GB2312" w:hAnsi="仿宋_GB2312" w:eastAsia="仿宋_GB2312" w:cs="仿宋_GB2312"/>
          <w:b w:val="0"/>
          <w:bCs w:val="0"/>
          <w:sz w:val="32"/>
          <w:szCs w:val="32"/>
          <w:lang w:val="en-US" w:eastAsia="zh-CN"/>
        </w:rPr>
        <w:t>技术改造项目资</w:t>
      </w:r>
      <w:bookmarkStart w:id="1" w:name="_GoBack"/>
      <w:bookmarkEnd w:id="1"/>
      <w:r>
        <w:rPr>
          <w:rFonts w:hint="eastAsia" w:ascii="仿宋_GB2312" w:hAnsi="仿宋_GB2312" w:eastAsia="仿宋_GB2312" w:cs="仿宋_GB2312"/>
          <w:b w:val="0"/>
          <w:bCs w:val="0"/>
          <w:sz w:val="32"/>
          <w:szCs w:val="32"/>
          <w:lang w:val="en-US" w:eastAsia="zh-CN"/>
        </w:rPr>
        <w:t>助类操作</w:t>
      </w:r>
      <w:bookmarkEnd w:id="0"/>
      <w:r>
        <w:rPr>
          <w:rFonts w:hint="eastAsia" w:ascii="仿宋_GB2312" w:hAnsi="仿宋_GB2312" w:eastAsia="仿宋_GB2312" w:cs="仿宋_GB2312"/>
          <w:b w:val="0"/>
          <w:bCs w:val="0"/>
          <w:sz w:val="32"/>
          <w:szCs w:val="32"/>
          <w:lang w:val="en-US" w:eastAsia="zh-CN"/>
        </w:rPr>
        <w:t>指引</w:t>
      </w:r>
      <w:r>
        <w:rPr>
          <w:rFonts w:hint="eastAsia" w:ascii="仿宋_GB2312" w:hAnsi="仿宋_GB2312" w:eastAsia="仿宋_GB2312" w:cs="仿宋_GB2312"/>
          <w:b w:val="0"/>
          <w:bCs w:val="0"/>
          <w:sz w:val="32"/>
          <w:szCs w:val="32"/>
          <w:lang w:eastAsia="zh-CN"/>
        </w:rPr>
        <w:t>》</w:t>
      </w:r>
      <w:r>
        <w:rPr>
          <w:rFonts w:hint="eastAsia" w:ascii="仿宋_GB2312" w:hAnsi="仿宋" w:eastAsia="仿宋_GB2312" w:cs="仿宋_GB2312"/>
          <w:color w:val="000000" w:themeColor="text1"/>
          <w:sz w:val="32"/>
          <w:szCs w:val="32"/>
          <w:lang w:eastAsia="zh-Hans" w:bidi="ar"/>
          <w14:textFill>
            <w14:solidFill>
              <w14:schemeClr w14:val="tx1"/>
            </w14:solidFill>
          </w14:textFill>
        </w:rPr>
        <w:t>。现</w:t>
      </w:r>
      <w:r>
        <w:rPr>
          <w:rFonts w:hint="eastAsia" w:ascii="仿宋_GB2312" w:hAnsi="仿宋" w:eastAsia="仿宋_GB2312" w:cs="仿宋_GB2312"/>
          <w:color w:val="000000" w:themeColor="text1"/>
          <w:sz w:val="32"/>
          <w:szCs w:val="32"/>
          <w:lang w:eastAsia="zh-CN" w:bidi="ar"/>
          <w14:textFill>
            <w14:solidFill>
              <w14:schemeClr w14:val="tx1"/>
            </w14:solidFill>
          </w14:textFill>
        </w:rPr>
        <w:t>就</w:t>
      </w:r>
      <w:r>
        <w:rPr>
          <w:rFonts w:hint="eastAsia" w:ascii="仿宋_GB2312" w:hAnsi="仿宋" w:eastAsia="仿宋_GB2312" w:cs="仿宋_GB2312"/>
          <w:color w:val="000000" w:themeColor="text1"/>
          <w:sz w:val="32"/>
          <w:szCs w:val="32"/>
          <w:lang w:eastAsia="zh-Hans" w:bidi="ar"/>
          <w14:textFill>
            <w14:solidFill>
              <w14:schemeClr w14:val="tx1"/>
            </w14:solidFill>
          </w14:textFill>
        </w:rPr>
        <w:t>有关编制情况说明如下。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sz w:val="32"/>
          <w:szCs w:val="32"/>
          <w:lang w:eastAsia="zh-CN"/>
        </w:rPr>
      </w:pPr>
      <w:r>
        <w:rPr>
          <w:rFonts w:hint="default" w:ascii="黑体" w:hAnsi="黑体" w:eastAsia="黑体" w:cs="黑体"/>
          <w:b w:val="0"/>
          <w:bCs w:val="0"/>
          <w:sz w:val="32"/>
          <w:szCs w:val="32"/>
          <w:lang w:eastAsia="zh-CN"/>
        </w:rPr>
        <w:t>一、出台新一轮技改</w:t>
      </w:r>
      <w:r>
        <w:rPr>
          <w:rFonts w:hint="eastAsia" w:ascii="黑体" w:hAnsi="黑体" w:eastAsia="黑体" w:cs="黑体"/>
          <w:b w:val="0"/>
          <w:bCs w:val="0"/>
          <w:sz w:val="32"/>
          <w:szCs w:val="32"/>
          <w:lang w:eastAsia="zh-CN"/>
        </w:rPr>
        <w:t>政策</w:t>
      </w:r>
      <w:r>
        <w:rPr>
          <w:rFonts w:hint="default" w:ascii="黑体" w:hAnsi="黑体" w:eastAsia="黑体" w:cs="黑体"/>
          <w:b w:val="0"/>
          <w:bCs w:val="0"/>
          <w:sz w:val="32"/>
          <w:szCs w:val="32"/>
          <w:lang w:eastAsia="zh-CN"/>
        </w:rPr>
        <w:t>的必要性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lang w:eastAsia="zh-CN"/>
        </w:rPr>
        <w:t>（一）落实上级文件精神和领导批示指示</w:t>
      </w:r>
      <w:r>
        <w:rPr>
          <w:rFonts w:hint="eastAsia" w:ascii="仿宋_GB2312" w:hAnsi="仿宋_GB2312" w:eastAsia="仿宋_GB2312" w:cs="仿宋_GB2312"/>
          <w:b/>
          <w:bCs/>
          <w:sz w:val="32"/>
          <w:szCs w:val="32"/>
          <w:lang w:val="en-US" w:eastAsia="zh-CN"/>
        </w:rPr>
        <w:t>，推动制造业高质量发展的需要。</w:t>
      </w:r>
      <w:r>
        <w:rPr>
          <w:rFonts w:hint="eastAsia" w:ascii="Times New Roman" w:hAnsi="Times New Roman" w:eastAsia="仿宋_GB2312"/>
          <w:color w:val="000000"/>
          <w:sz w:val="32"/>
          <w:szCs w:val="32"/>
        </w:rPr>
        <w:t>实施工业领域新一轮大规模设备更新</w:t>
      </w:r>
      <w:r>
        <w:rPr>
          <w:rFonts w:hint="eastAsia" w:ascii="Times New Roman" w:hAnsi="Times New Roman" w:eastAsia="仿宋_GB2312"/>
          <w:color w:val="000000"/>
          <w:sz w:val="32"/>
          <w:szCs w:val="32"/>
          <w:lang w:eastAsia="zh-CN"/>
        </w:rPr>
        <w:t>和技术改造</w:t>
      </w:r>
      <w:r>
        <w:rPr>
          <w:rFonts w:hint="eastAsia" w:ascii="Times New Roman" w:hAnsi="Times New Roman" w:eastAsia="仿宋_GB2312"/>
          <w:color w:val="000000"/>
          <w:sz w:val="32"/>
          <w:szCs w:val="32"/>
        </w:rPr>
        <w:t>是</w:t>
      </w:r>
      <w:r>
        <w:rPr>
          <w:rFonts w:hint="eastAsia" w:ascii="Times New Roman" w:hAnsi="Times New Roman" w:eastAsia="仿宋_GB2312"/>
          <w:color w:val="000000"/>
          <w:sz w:val="32"/>
          <w:szCs w:val="32"/>
          <w:lang w:eastAsia="zh-CN"/>
        </w:rPr>
        <w:t>扩大</w:t>
      </w:r>
      <w:r>
        <w:rPr>
          <w:rFonts w:hint="eastAsia" w:ascii="Times New Roman" w:hAnsi="Times New Roman" w:eastAsia="仿宋_GB2312"/>
          <w:color w:val="000000"/>
          <w:sz w:val="32"/>
          <w:szCs w:val="32"/>
        </w:rPr>
        <w:t>有效投资、提升发展质效、促进技术进步的重要举措。为深入</w:t>
      </w:r>
      <w:r>
        <w:rPr>
          <w:rFonts w:hint="eastAsia" w:ascii="Times New Roman" w:hAnsi="Times New Roman" w:eastAsia="仿宋_GB2312"/>
          <w:color w:val="000000"/>
          <w:sz w:val="32"/>
          <w:szCs w:val="32"/>
          <w:lang w:eastAsia="zh-CN"/>
        </w:rPr>
        <w:t>贯彻</w:t>
      </w:r>
      <w:r>
        <w:rPr>
          <w:rFonts w:hint="eastAsia" w:ascii="Times New Roman" w:hAnsi="Times New Roman" w:eastAsia="仿宋_GB2312"/>
          <w:color w:val="000000"/>
          <w:sz w:val="32"/>
          <w:szCs w:val="32"/>
        </w:rPr>
        <w:t>落实党中央、国务院</w:t>
      </w:r>
      <w:r>
        <w:rPr>
          <w:rFonts w:hint="eastAsia" w:ascii="Times New Roman" w:hAnsi="Times New Roman" w:eastAsia="仿宋_GB2312"/>
          <w:color w:val="000000"/>
          <w:sz w:val="32"/>
          <w:szCs w:val="32"/>
          <w:lang w:eastAsia="zh-CN"/>
        </w:rPr>
        <w:t>、省、市推动</w:t>
      </w:r>
      <w:r>
        <w:rPr>
          <w:rFonts w:hint="eastAsia" w:ascii="Times New Roman" w:hAnsi="Times New Roman" w:eastAsia="仿宋_GB2312"/>
          <w:color w:val="000000"/>
          <w:sz w:val="32"/>
          <w:szCs w:val="32"/>
        </w:rPr>
        <w:t>新一轮大规模设备更新工作部署，全面提升我市</w:t>
      </w:r>
      <w:r>
        <w:rPr>
          <w:rFonts w:hint="eastAsia" w:ascii="Times New Roman" w:hAnsi="Times New Roman" w:eastAsia="仿宋_GB2312"/>
          <w:color w:val="000000"/>
          <w:sz w:val="32"/>
          <w:szCs w:val="32"/>
          <w:lang w:eastAsia="zh-CN"/>
        </w:rPr>
        <w:t>产业</w:t>
      </w:r>
      <w:r>
        <w:rPr>
          <w:rFonts w:hint="eastAsia" w:ascii="Times New Roman" w:hAnsi="Times New Roman" w:eastAsia="仿宋_GB2312"/>
          <w:color w:val="000000"/>
          <w:sz w:val="32"/>
          <w:szCs w:val="32"/>
        </w:rPr>
        <w:t>高端化、智能化、绿色化发展水平，加快培育新质生产力</w:t>
      </w:r>
      <w:r>
        <w:rPr>
          <w:rFonts w:hint="eastAsia" w:ascii="仿宋_GB2312" w:hAnsi="仿宋_GB2312" w:eastAsia="仿宋_GB2312" w:cs="仿宋_GB2312"/>
          <w:b w:val="0"/>
          <w:bCs w:val="0"/>
          <w:kern w:val="2"/>
          <w:sz w:val="32"/>
          <w:szCs w:val="32"/>
          <w:lang w:eastAsia="zh-CN" w:bidi="ar-SA"/>
        </w:rPr>
        <w:t>技术改造作为促进</w:t>
      </w:r>
      <w:r>
        <w:rPr>
          <w:rFonts w:hint="eastAsia" w:ascii="仿宋_GB2312" w:hAnsi="仿宋_GB2312" w:eastAsia="仿宋_GB2312" w:cs="仿宋_GB2312"/>
          <w:kern w:val="2"/>
          <w:sz w:val="32"/>
          <w:szCs w:val="32"/>
          <w:lang w:eastAsia="zh-CN" w:bidi="ar-SA"/>
        </w:rPr>
        <w:t>投资和调节供给的重要手段，尤其在当前工业稳增长压力较大的背景下，应放在产业发展的重要位置加以推进，</w:t>
      </w:r>
      <w:r>
        <w:rPr>
          <w:rFonts w:hint="eastAsia" w:ascii="仿宋_GB2312" w:hAnsi="仿宋_GB2312" w:eastAsia="仿宋_GB2312" w:cs="仿宋_GB2312"/>
          <w:kern w:val="2"/>
          <w:sz w:val="32"/>
          <w:szCs w:val="32"/>
          <w:lang w:val="en-US" w:eastAsia="zh-CN" w:bidi="ar-SA"/>
        </w:rPr>
        <w:t>有必要组织实施更有利、更有针对性的技术改造扶持政策，以技术改造推动全区制造业高质量发展，为龙华建设</w:t>
      </w:r>
      <w:r>
        <w:rPr>
          <w:rFonts w:hint="eastAsia" w:ascii="仿宋_GB2312" w:hAnsi="仿宋_GB2312" w:eastAsia="仿宋_GB2312" w:cs="仿宋_GB2312"/>
          <w:kern w:val="2"/>
          <w:sz w:val="32"/>
          <w:szCs w:val="32"/>
          <w:lang w:eastAsia="zh-CN" w:bidi="ar-SA"/>
        </w:rPr>
        <w:t>领先的</w:t>
      </w:r>
      <w:r>
        <w:rPr>
          <w:rFonts w:hint="default" w:ascii="仿宋_GB2312" w:hAnsi="仿宋_GB2312" w:eastAsia="仿宋_GB2312" w:cs="仿宋_GB2312"/>
          <w:kern w:val="2"/>
          <w:sz w:val="32"/>
          <w:szCs w:val="32"/>
          <w:lang w:eastAsia="zh-CN" w:bidi="ar-SA"/>
        </w:rPr>
        <w:t>重要的先进制造业中心</w:t>
      </w:r>
      <w:r>
        <w:rPr>
          <w:rFonts w:hint="eastAsia" w:ascii="仿宋_GB2312" w:hAnsi="仿宋_GB2312" w:eastAsia="仿宋_GB2312" w:cs="仿宋_GB2312"/>
          <w:kern w:val="2"/>
          <w:sz w:val="32"/>
          <w:szCs w:val="32"/>
          <w:lang w:eastAsia="zh-CN" w:bidi="ar-SA"/>
        </w:rPr>
        <w:t>奠定坚实基础。</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default" w:ascii="仿宋_GB2312" w:hAnsi="仿宋_GB2312" w:eastAsia="仿宋_GB2312" w:cs="仿宋_GB2312"/>
          <w:b w:val="0"/>
          <w:bCs w:val="0"/>
          <w:kern w:val="2"/>
          <w:sz w:val="32"/>
          <w:szCs w:val="32"/>
          <w:u w:val="none"/>
          <w:lang w:eastAsia="zh-CN" w:bidi="ar-SA"/>
        </w:rPr>
      </w:pPr>
      <w:r>
        <w:rPr>
          <w:rFonts w:hint="eastAsia" w:ascii="仿宋_GB2312" w:hAnsi="仿宋_GB2312" w:eastAsia="仿宋_GB2312" w:cs="仿宋_GB2312"/>
          <w:b/>
          <w:bCs/>
          <w:kern w:val="2"/>
          <w:sz w:val="32"/>
          <w:szCs w:val="32"/>
          <w:lang w:val="en-US" w:eastAsia="zh-CN" w:bidi="ar-SA"/>
        </w:rPr>
        <w:t>（二）</w:t>
      </w:r>
      <w:r>
        <w:rPr>
          <w:rFonts w:hint="default" w:ascii="仿宋_GB2312" w:hAnsi="仿宋_GB2312" w:eastAsia="仿宋_GB2312" w:cs="仿宋_GB2312"/>
          <w:b/>
          <w:bCs/>
          <w:kern w:val="2"/>
          <w:sz w:val="32"/>
          <w:szCs w:val="32"/>
          <w:lang w:eastAsia="zh-CN" w:bidi="ar-SA"/>
        </w:rPr>
        <w:t>进一步扩大技改投资规模，促进工业经济健康发展的需要。</w:t>
      </w:r>
      <w:r>
        <w:rPr>
          <w:rFonts w:hint="default" w:ascii="仿宋_GB2312" w:hAnsi="仿宋_GB2312" w:eastAsia="仿宋_GB2312" w:cs="仿宋_GB2312"/>
          <w:b w:val="0"/>
          <w:bCs w:val="0"/>
          <w:kern w:val="2"/>
          <w:sz w:val="32"/>
          <w:szCs w:val="32"/>
          <w:u w:val="none"/>
          <w:lang w:eastAsia="zh-CN" w:bidi="ar-SA"/>
        </w:rPr>
        <w:t>工业投资是工业经济发展的重要先行指标</w:t>
      </w:r>
      <w:r>
        <w:rPr>
          <w:rFonts w:hint="eastAsia" w:ascii="仿宋_GB2312" w:hAnsi="仿宋_GB2312" w:eastAsia="仿宋_GB2312" w:cs="仿宋_GB2312"/>
          <w:b w:val="0"/>
          <w:bCs w:val="0"/>
          <w:kern w:val="2"/>
          <w:sz w:val="32"/>
          <w:szCs w:val="32"/>
          <w:u w:val="none"/>
          <w:lang w:eastAsia="zh-CN" w:bidi="ar-SA"/>
        </w:rPr>
        <w:t>，</w:t>
      </w:r>
      <w:r>
        <w:rPr>
          <w:rFonts w:hint="default" w:ascii="仿宋_GB2312" w:hAnsi="仿宋_GB2312" w:eastAsia="仿宋_GB2312" w:cs="仿宋_GB2312"/>
          <w:b w:val="0"/>
          <w:bCs w:val="0"/>
          <w:kern w:val="2"/>
          <w:sz w:val="32"/>
          <w:szCs w:val="32"/>
          <w:u w:val="none"/>
          <w:lang w:eastAsia="zh-CN" w:bidi="ar-SA"/>
        </w:rPr>
        <w:t>直接影响着今后一段时期工业经济发展态势</w:t>
      </w:r>
      <w:r>
        <w:rPr>
          <w:rFonts w:hint="eastAsia" w:ascii="仿宋_GB2312" w:hAnsi="仿宋_GB2312" w:eastAsia="仿宋_GB2312" w:cs="仿宋_GB2312"/>
          <w:b w:val="0"/>
          <w:bCs w:val="0"/>
          <w:kern w:val="2"/>
          <w:sz w:val="32"/>
          <w:szCs w:val="32"/>
          <w:u w:val="none"/>
          <w:lang w:eastAsia="zh-CN" w:bidi="ar-SA"/>
        </w:rPr>
        <w:t>，其中，技改投资作为工业投资的重要组成部分，是工业企业在保证固定资产简单再生产基础上，实现以内含为主的扩大再生产的投资，代表着工业企业对先进技术的投入，是工业企业实现技术进步的重要手段。</w:t>
      </w:r>
      <w:r>
        <w:rPr>
          <w:rFonts w:hint="default" w:ascii="仿宋_GB2312" w:hAnsi="仿宋_GB2312" w:eastAsia="仿宋_GB2312" w:cs="仿宋_GB2312"/>
          <w:b w:val="0"/>
          <w:bCs w:val="0"/>
          <w:kern w:val="2"/>
          <w:sz w:val="32"/>
          <w:szCs w:val="32"/>
          <w:u w:val="none"/>
          <w:lang w:val="en-US" w:eastAsia="zh-CN" w:bidi="ar-SA"/>
        </w:rPr>
        <w:t>近年来，</w:t>
      </w:r>
      <w:r>
        <w:rPr>
          <w:rFonts w:hint="eastAsia" w:ascii="仿宋_GB2312" w:hAnsi="仿宋_GB2312" w:eastAsia="仿宋_GB2312" w:cs="仿宋_GB2312"/>
          <w:b w:val="0"/>
          <w:bCs w:val="0"/>
          <w:kern w:val="2"/>
          <w:sz w:val="32"/>
          <w:szCs w:val="32"/>
          <w:u w:val="none"/>
          <w:lang w:val="en-US" w:eastAsia="zh-CN" w:bidi="ar-SA"/>
        </w:rPr>
        <w:t>龙华</w:t>
      </w:r>
      <w:r>
        <w:rPr>
          <w:rFonts w:hint="default" w:ascii="仿宋_GB2312" w:hAnsi="仿宋_GB2312" w:eastAsia="仿宋_GB2312" w:cs="仿宋_GB2312"/>
          <w:b w:val="0"/>
          <w:bCs w:val="0"/>
          <w:kern w:val="2"/>
          <w:sz w:val="32"/>
          <w:szCs w:val="32"/>
          <w:u w:val="none"/>
          <w:lang w:val="en-US" w:eastAsia="zh-CN" w:bidi="ar-SA"/>
        </w:rPr>
        <w:t>不断加大技术改造推进力度，</w:t>
      </w:r>
      <w:r>
        <w:rPr>
          <w:rFonts w:hint="eastAsia" w:ascii="仿宋_GB2312" w:hAnsi="仿宋_GB2312" w:eastAsia="仿宋_GB2312" w:cs="仿宋_GB2312"/>
          <w:b w:val="0"/>
          <w:bCs w:val="0"/>
          <w:kern w:val="2"/>
          <w:sz w:val="32"/>
          <w:szCs w:val="32"/>
          <w:u w:val="none"/>
          <w:lang w:val="en-US" w:eastAsia="zh-CN" w:bidi="ar-SA"/>
        </w:rPr>
        <w:t>工业投资规模不断扩大，</w:t>
      </w:r>
      <w:r>
        <w:rPr>
          <w:rFonts w:hint="eastAsia" w:ascii="仿宋_GB2312" w:hAnsi="仿宋_GB2312" w:eastAsia="仿宋_GB2312" w:cs="仿宋_GB2312"/>
          <w:b w:val="0"/>
          <w:bCs w:val="0"/>
          <w:kern w:val="2"/>
          <w:sz w:val="32"/>
          <w:szCs w:val="32"/>
          <w:highlight w:val="none"/>
          <w:u w:val="none"/>
          <w:lang w:val="en-US" w:eastAsia="zh-CN" w:bidi="ar-SA"/>
        </w:rPr>
        <w:t>从2017年138亿元增长至2023年371亿元，年均增长28%，带动全区</w:t>
      </w:r>
      <w:r>
        <w:rPr>
          <w:rFonts w:hint="default" w:ascii="仿宋_GB2312" w:hAnsi="仿宋_GB2312" w:eastAsia="仿宋_GB2312" w:cs="仿宋_GB2312"/>
          <w:b w:val="0"/>
          <w:bCs w:val="0"/>
          <w:kern w:val="2"/>
          <w:sz w:val="32"/>
          <w:szCs w:val="32"/>
          <w:highlight w:val="none"/>
          <w:u w:val="none"/>
          <w:lang w:val="en-US" w:eastAsia="zh-CN" w:bidi="ar-SA"/>
        </w:rPr>
        <w:t>工业投资</w:t>
      </w:r>
      <w:r>
        <w:rPr>
          <w:rFonts w:hint="eastAsia" w:ascii="仿宋_GB2312" w:hAnsi="仿宋_GB2312" w:eastAsia="仿宋_GB2312" w:cs="仿宋_GB2312"/>
          <w:b w:val="0"/>
          <w:bCs w:val="0"/>
          <w:kern w:val="2"/>
          <w:sz w:val="32"/>
          <w:szCs w:val="32"/>
          <w:highlight w:val="none"/>
          <w:u w:val="none"/>
          <w:lang w:val="en-US" w:eastAsia="zh-CN" w:bidi="ar-SA"/>
        </w:rPr>
        <w:t>规模不断创新高、</w:t>
      </w:r>
      <w:r>
        <w:rPr>
          <w:rFonts w:hint="default" w:ascii="仿宋_GB2312" w:hAnsi="仿宋_GB2312" w:eastAsia="仿宋_GB2312" w:cs="仿宋_GB2312"/>
          <w:b w:val="0"/>
          <w:bCs w:val="0"/>
          <w:kern w:val="2"/>
          <w:sz w:val="32"/>
          <w:szCs w:val="32"/>
          <w:highlight w:val="none"/>
          <w:u w:val="none"/>
          <w:lang w:val="en-US" w:eastAsia="zh-CN" w:bidi="ar-SA"/>
        </w:rPr>
        <w:t>投资结构不断优化</w:t>
      </w:r>
      <w:r>
        <w:rPr>
          <w:rFonts w:hint="eastAsia" w:ascii="仿宋_GB2312" w:hAnsi="仿宋_GB2312" w:eastAsia="仿宋_GB2312" w:cs="仿宋_GB2312"/>
          <w:b w:val="0"/>
          <w:bCs w:val="0"/>
          <w:kern w:val="2"/>
          <w:sz w:val="32"/>
          <w:szCs w:val="32"/>
          <w:highlight w:val="none"/>
          <w:u w:val="none"/>
          <w:lang w:val="en-US" w:eastAsia="zh-CN" w:bidi="ar-SA"/>
        </w:rPr>
        <w:t>。</w:t>
      </w:r>
      <w:r>
        <w:rPr>
          <w:rFonts w:hint="eastAsia" w:ascii="仿宋_GB2312" w:hAnsi="仿宋_GB2312" w:eastAsia="仿宋_GB2312" w:cs="仿宋_GB2312"/>
          <w:b w:val="0"/>
          <w:bCs w:val="0"/>
          <w:kern w:val="2"/>
          <w:sz w:val="32"/>
          <w:szCs w:val="32"/>
          <w:u w:val="none"/>
          <w:lang w:val="en-US" w:eastAsia="zh-CN" w:bidi="ar-SA"/>
        </w:rPr>
        <w:t>但是当前我区技改投资也存在一些问题，包括：</w:t>
      </w:r>
      <w:r>
        <w:rPr>
          <w:rFonts w:hint="eastAsia" w:ascii="仿宋_GB2312" w:hAnsi="仿宋_GB2312" w:eastAsia="仿宋_GB2312" w:cs="仿宋_GB2312"/>
          <w:b w:val="0"/>
          <w:bCs w:val="0"/>
          <w:kern w:val="2"/>
          <w:sz w:val="32"/>
          <w:szCs w:val="32"/>
          <w:highlight w:val="none"/>
          <w:u w:val="none"/>
          <w:lang w:val="en-US" w:eastAsia="zh-CN" w:bidi="ar-SA"/>
        </w:rPr>
        <w:t>技改投资规模低于龙岗、光明等区，与工业大区定位不相匹配；技改投资增速存在一定下滑风险；</w:t>
      </w:r>
      <w:r>
        <w:rPr>
          <w:rFonts w:hint="eastAsia" w:ascii="仿宋_GB2312" w:hAnsi="仿宋_GB2312" w:eastAsia="仿宋_GB2312" w:cs="仿宋_GB2312"/>
          <w:b w:val="0"/>
          <w:bCs w:val="0"/>
          <w:kern w:val="2"/>
          <w:sz w:val="32"/>
          <w:szCs w:val="32"/>
          <w:u w:val="none"/>
          <w:lang w:val="en-US" w:eastAsia="zh-CN" w:bidi="ar-SA"/>
        </w:rPr>
        <w:t>重大技改项目支撑不足等。因此，我区技改投资无论是在规模、结构还是项目支撑上还有一定差距要追赶，需要发挥投资关键作用，加大制造业技术改造和设备更新支持力度，有效增强工业发展后劲。</w:t>
      </w:r>
    </w:p>
    <w:p>
      <w:pPr>
        <w:pStyle w:val="18"/>
        <w:keepNext w:val="0"/>
        <w:keepLines w:val="0"/>
        <w:pageBreakBefore w:val="0"/>
        <w:widowControl w:val="0"/>
        <w:kinsoku/>
        <w:wordWrap/>
        <w:overflowPunct/>
        <w:topLinePunct w:val="0"/>
        <w:autoSpaceDE/>
        <w:autoSpaceDN/>
        <w:bidi w:val="0"/>
        <w:adjustRightInd/>
        <w:snapToGrid/>
        <w:spacing w:before="0" w:after="0" w:line="560" w:lineRule="exact"/>
        <w:ind w:firstLine="642" w:firstLineChars="200"/>
        <w:jc w:val="both"/>
        <w:textAlignment w:val="auto"/>
        <w:rPr>
          <w:rFonts w:hint="default"/>
          <w:b w:val="0"/>
          <w:bCs w:val="0"/>
          <w:color w:val="auto"/>
          <w:sz w:val="32"/>
          <w:szCs w:val="32"/>
          <w:u w:val="single"/>
          <w:lang w:val="en-US" w:eastAsia="zh-CN"/>
        </w:rPr>
      </w:pPr>
      <w:r>
        <w:rPr>
          <w:rFonts w:hint="eastAsia" w:ascii="仿宋_GB2312" w:hAnsi="仿宋_GB2312" w:eastAsia="仿宋_GB2312" w:cs="仿宋_GB2312"/>
          <w:b/>
          <w:bCs/>
          <w:sz w:val="32"/>
          <w:szCs w:val="32"/>
          <w:lang w:val="en-US" w:eastAsia="zh-CN"/>
        </w:rPr>
        <w:t>（</w:t>
      </w:r>
      <w:r>
        <w:rPr>
          <w:rFonts w:hint="eastAsia" w:cs="仿宋_GB2312"/>
          <w:b/>
          <w:bCs/>
          <w:sz w:val="32"/>
          <w:szCs w:val="32"/>
          <w:lang w:val="en-US" w:eastAsia="zh-CN"/>
        </w:rPr>
        <w:t>三</w:t>
      </w:r>
      <w:r>
        <w:rPr>
          <w:rFonts w:hint="eastAsia" w:ascii="仿宋_GB2312" w:hAnsi="仿宋_GB2312" w:eastAsia="仿宋_GB2312" w:cs="仿宋_GB2312"/>
          <w:b/>
          <w:bCs/>
          <w:sz w:val="32"/>
          <w:szCs w:val="32"/>
          <w:lang w:val="en-US" w:eastAsia="zh-CN"/>
        </w:rPr>
        <w:t>）有效</w:t>
      </w:r>
      <w:r>
        <w:rPr>
          <w:rFonts w:hint="eastAsia" w:cs="仿宋_GB2312"/>
          <w:b/>
          <w:bCs/>
          <w:sz w:val="32"/>
          <w:szCs w:val="32"/>
          <w:lang w:val="en-US" w:eastAsia="zh-CN"/>
        </w:rPr>
        <w:t>适应</w:t>
      </w:r>
      <w:r>
        <w:rPr>
          <w:rFonts w:hint="eastAsia" w:ascii="仿宋_GB2312" w:hAnsi="仿宋_GB2312" w:eastAsia="仿宋_GB2312" w:cs="仿宋_GB2312"/>
          <w:b/>
          <w:bCs/>
          <w:sz w:val="32"/>
          <w:szCs w:val="32"/>
          <w:lang w:val="en-US" w:eastAsia="zh-CN"/>
        </w:rPr>
        <w:t>技术改造新形势</w:t>
      </w:r>
      <w:r>
        <w:rPr>
          <w:rFonts w:hint="eastAsia" w:cs="仿宋_GB2312"/>
          <w:b/>
          <w:bCs/>
          <w:sz w:val="32"/>
          <w:szCs w:val="32"/>
          <w:lang w:val="en-US" w:eastAsia="zh-CN"/>
        </w:rPr>
        <w:t>，加速产业转型升级的需要</w:t>
      </w:r>
      <w:r>
        <w:rPr>
          <w:rFonts w:hint="eastAsia" w:ascii="仿宋_GB2312" w:hAnsi="仿宋_GB2312" w:eastAsia="仿宋_GB2312" w:cs="仿宋_GB2312"/>
          <w:b/>
          <w:bCs/>
          <w:sz w:val="32"/>
          <w:szCs w:val="32"/>
          <w:lang w:val="en-US" w:eastAsia="zh-CN"/>
        </w:rPr>
        <w:t>。</w:t>
      </w:r>
      <w:r>
        <w:rPr>
          <w:rFonts w:hint="eastAsia" w:cs="仿宋_GB2312"/>
          <w:b/>
          <w:bCs/>
          <w:kern w:val="2"/>
          <w:sz w:val="32"/>
          <w:szCs w:val="32"/>
          <w:lang w:eastAsia="zh-CN" w:bidi="ar-SA"/>
        </w:rPr>
        <w:t>党的二十大报告提出，</w:t>
      </w:r>
      <w:r>
        <w:rPr>
          <w:rFonts w:hint="eastAsia" w:cs="仿宋_GB2312"/>
          <w:kern w:val="2"/>
          <w:sz w:val="32"/>
          <w:szCs w:val="32"/>
          <w:lang w:eastAsia="zh-CN" w:bidi="ar-SA"/>
        </w:rPr>
        <w:t>要坚持把发展经济的着力点放在实体经济上，实施产业基础再造工程和重大技术装备攻关工程，推动制造业高端化、智能化、绿色化发展。习近平总书记在</w:t>
      </w:r>
      <w:r>
        <w:rPr>
          <w:rFonts w:hint="eastAsia" w:cs="仿宋_GB2312"/>
          <w:b/>
          <w:bCs/>
          <w:kern w:val="2"/>
          <w:sz w:val="32"/>
          <w:szCs w:val="32"/>
          <w:lang w:eastAsia="zh-CN" w:bidi="ar-SA"/>
        </w:rPr>
        <w:t>二十届中央财经委员会第一次会议</w:t>
      </w:r>
      <w:r>
        <w:rPr>
          <w:rFonts w:hint="eastAsia" w:cs="仿宋_GB2312"/>
          <w:kern w:val="2"/>
          <w:sz w:val="32"/>
          <w:szCs w:val="32"/>
          <w:lang w:eastAsia="zh-CN" w:bidi="ar-SA"/>
        </w:rPr>
        <w:t>上强调，要推进产业智能化、绿色化、融合化，建设具有完整性、先进性、安全性的现代化产业体系。当前，新一轮科技革命和产业变革正蓬勃兴起，新技术、新业态、新模式不断涌现，在制造业转型方向上，需要重点关注</w:t>
      </w:r>
      <w:r>
        <w:rPr>
          <w:rFonts w:hint="default" w:cs="仿宋_GB2312"/>
          <w:kern w:val="2"/>
          <w:sz w:val="32"/>
          <w:szCs w:val="32"/>
          <w:lang w:val="en" w:eastAsia="zh-CN" w:bidi="ar-SA"/>
        </w:rPr>
        <w:t>三</w:t>
      </w:r>
      <w:r>
        <w:rPr>
          <w:rFonts w:hint="eastAsia" w:cs="仿宋_GB2312"/>
          <w:kern w:val="2"/>
          <w:sz w:val="32"/>
          <w:szCs w:val="32"/>
          <w:lang w:eastAsia="zh-CN" w:bidi="ar-SA"/>
        </w:rPr>
        <w:t>个方面：</w:t>
      </w:r>
      <w:r>
        <w:rPr>
          <w:rFonts w:hint="eastAsia" w:cs="仿宋_GB2312"/>
          <w:b/>
          <w:bCs/>
          <w:kern w:val="2"/>
          <w:sz w:val="32"/>
          <w:szCs w:val="32"/>
          <w:lang w:val="en-US" w:eastAsia="zh-CN" w:bidi="ar-SA"/>
        </w:rPr>
        <w:t>一是高端化发展，</w:t>
      </w:r>
      <w:r>
        <w:rPr>
          <w:rFonts w:hint="eastAsia" w:cs="仿宋_GB2312"/>
          <w:b w:val="0"/>
          <w:bCs w:val="0"/>
          <w:kern w:val="2"/>
          <w:sz w:val="32"/>
          <w:szCs w:val="32"/>
          <w:lang w:val="en-US" w:eastAsia="zh-CN" w:bidi="ar-SA"/>
        </w:rPr>
        <w:t>高端化是制造业核心竞争力的根本体现，制造业高端化主要体现在产业技术、价值链以及产业链的高端化；</w:t>
      </w:r>
      <w:r>
        <w:rPr>
          <w:rFonts w:hint="eastAsia" w:cs="仿宋_GB2312"/>
          <w:b/>
          <w:bCs/>
          <w:kern w:val="2"/>
          <w:sz w:val="32"/>
          <w:szCs w:val="32"/>
          <w:lang w:eastAsia="zh-CN" w:bidi="ar-SA"/>
        </w:rPr>
        <w:t>二是智能化发展，</w:t>
      </w:r>
      <w:r>
        <w:rPr>
          <w:rFonts w:hint="eastAsia" w:cs="仿宋_GB2312"/>
          <w:b w:val="0"/>
          <w:bCs w:val="0"/>
          <w:kern w:val="2"/>
          <w:sz w:val="32"/>
          <w:szCs w:val="32"/>
          <w:lang w:eastAsia="zh-CN" w:bidi="ar-SA"/>
        </w:rPr>
        <w:t>智能化是制造业发展的高级形态，需要推动</w:t>
      </w:r>
      <w:r>
        <w:rPr>
          <w:rFonts w:hint="eastAsia" w:ascii="仿宋_GB2312" w:eastAsia="仿宋_GB2312"/>
          <w:color w:val="auto"/>
          <w:sz w:val="32"/>
          <w:szCs w:val="32"/>
        </w:rPr>
        <w:t>5G、大数据、工业互联网、</w:t>
      </w:r>
      <w:r>
        <w:rPr>
          <w:rFonts w:hint="eastAsia"/>
          <w:color w:val="auto"/>
          <w:sz w:val="32"/>
          <w:szCs w:val="32"/>
          <w:lang w:eastAsia="zh-CN"/>
        </w:rPr>
        <w:t>云计算、</w:t>
      </w:r>
      <w:r>
        <w:rPr>
          <w:rFonts w:hint="eastAsia" w:ascii="仿宋_GB2312" w:eastAsia="仿宋_GB2312"/>
          <w:color w:val="auto"/>
          <w:sz w:val="32"/>
          <w:szCs w:val="32"/>
        </w:rPr>
        <w:t>人工智能等新一代信息技术</w:t>
      </w:r>
      <w:r>
        <w:rPr>
          <w:rFonts w:hint="eastAsia"/>
          <w:color w:val="auto"/>
          <w:sz w:val="32"/>
          <w:szCs w:val="32"/>
          <w:lang w:eastAsia="zh-CN"/>
        </w:rPr>
        <w:t>与实体经济在更广范围、更深程度、更高水平的融合应用；</w:t>
      </w:r>
      <w:r>
        <w:rPr>
          <w:rFonts w:hint="eastAsia"/>
          <w:b/>
          <w:bCs/>
          <w:color w:val="auto"/>
          <w:sz w:val="32"/>
          <w:szCs w:val="32"/>
          <w:lang w:eastAsia="zh-CN"/>
        </w:rPr>
        <w:t>三是绿色化发展，</w:t>
      </w:r>
      <w:r>
        <w:rPr>
          <w:rFonts w:hint="eastAsia"/>
          <w:b w:val="0"/>
          <w:bCs w:val="0"/>
          <w:color w:val="auto"/>
          <w:sz w:val="32"/>
          <w:szCs w:val="32"/>
          <w:lang w:eastAsia="zh-CN"/>
        </w:rPr>
        <w:t>绿色是制造业高质量发展的底色，</w:t>
      </w:r>
      <w:r>
        <w:rPr>
          <w:rFonts w:hint="eastAsia"/>
          <w:color w:val="auto"/>
          <w:sz w:val="32"/>
          <w:szCs w:val="32"/>
          <w:lang w:eastAsia="zh-CN"/>
        </w:rPr>
        <w:t>碳达峰碳中和国家战略的部署、欧盟碳关税的出台以及</w:t>
      </w:r>
      <w:r>
        <w:rPr>
          <w:rFonts w:hint="eastAsia" w:ascii="仿宋_GB2312" w:eastAsia="仿宋_GB2312"/>
          <w:color w:val="auto"/>
          <w:sz w:val="32"/>
          <w:szCs w:val="32"/>
          <w:lang w:eastAsia="zh-CN"/>
        </w:rPr>
        <w:t>光伏发电、新型储能</w:t>
      </w:r>
      <w:r>
        <w:rPr>
          <w:rFonts w:hint="eastAsia"/>
          <w:color w:val="auto"/>
          <w:sz w:val="32"/>
          <w:szCs w:val="32"/>
          <w:lang w:eastAsia="zh-CN"/>
        </w:rPr>
        <w:t>等新技术的发展应用，也将重塑制造业发展形态</w:t>
      </w:r>
      <w:r>
        <w:rPr>
          <w:rFonts w:hint="eastAsia"/>
          <w:color w:val="auto"/>
          <w:sz w:val="32"/>
          <w:szCs w:val="32"/>
          <w:highlight w:val="none"/>
          <w:lang w:eastAsia="zh-CN"/>
        </w:rPr>
        <w:t>；</w:t>
      </w:r>
      <w:r>
        <w:rPr>
          <w:rFonts w:hint="eastAsia"/>
          <w:b w:val="0"/>
          <w:bCs w:val="0"/>
          <w:color w:val="auto"/>
          <w:sz w:val="32"/>
          <w:szCs w:val="32"/>
          <w:u w:val="none"/>
          <w:lang w:val="en-US" w:eastAsia="zh-CN"/>
        </w:rPr>
        <w:t>推动企业开展企业技术改造必须加快适应技术产业发展新形势、新形态，瞄准高端化、智能化、绿色化</w:t>
      </w:r>
      <w:r>
        <w:rPr>
          <w:rFonts w:hint="default"/>
          <w:b w:val="0"/>
          <w:bCs w:val="0"/>
          <w:color w:val="auto"/>
          <w:sz w:val="32"/>
          <w:szCs w:val="32"/>
          <w:u w:val="none"/>
          <w:lang w:val="en" w:eastAsia="zh-CN"/>
        </w:rPr>
        <w:t>三</w:t>
      </w:r>
      <w:r>
        <w:rPr>
          <w:rFonts w:hint="eastAsia"/>
          <w:b w:val="0"/>
          <w:bCs w:val="0"/>
          <w:color w:val="auto"/>
          <w:sz w:val="32"/>
          <w:szCs w:val="32"/>
          <w:u w:val="none"/>
          <w:lang w:val="en-US" w:eastAsia="zh-CN"/>
        </w:rPr>
        <w:t>个主攻方向，确保企业技术改造目标清晰，方向正确。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default" w:ascii="仿宋_GB2312" w:hAnsi="仿宋_GB2312" w:eastAsia="仿宋_GB2312" w:cs="仿宋_GB2312"/>
          <w:b/>
          <w:bCs/>
          <w:kern w:val="2"/>
          <w:sz w:val="32"/>
          <w:szCs w:val="32"/>
          <w:lang w:eastAsia="zh-CN" w:bidi="ar-SA"/>
        </w:rPr>
      </w:pPr>
      <w:r>
        <w:rPr>
          <w:rFonts w:hint="default" w:ascii="仿宋_GB2312" w:hAnsi="仿宋_GB2312" w:eastAsia="仿宋_GB2312" w:cs="仿宋_GB2312"/>
          <w:b/>
          <w:bCs/>
          <w:kern w:val="2"/>
          <w:sz w:val="32"/>
          <w:szCs w:val="32"/>
          <w:lang w:eastAsia="zh-CN" w:bidi="ar-SA"/>
        </w:rPr>
        <w:t>（</w:t>
      </w:r>
      <w:r>
        <w:rPr>
          <w:rFonts w:hint="eastAsia" w:ascii="仿宋_GB2312" w:hAnsi="仿宋_GB2312" w:eastAsia="仿宋_GB2312" w:cs="仿宋_GB2312"/>
          <w:b/>
          <w:bCs/>
          <w:kern w:val="2"/>
          <w:sz w:val="32"/>
          <w:szCs w:val="32"/>
          <w:lang w:eastAsia="zh-CN" w:bidi="ar-SA"/>
        </w:rPr>
        <w:t>四</w:t>
      </w:r>
      <w:r>
        <w:rPr>
          <w:rFonts w:hint="default" w:ascii="仿宋_GB2312" w:hAnsi="仿宋_GB2312" w:eastAsia="仿宋_GB2312" w:cs="仿宋_GB2312"/>
          <w:b/>
          <w:bCs/>
          <w:kern w:val="2"/>
          <w:sz w:val="32"/>
          <w:szCs w:val="32"/>
          <w:lang w:eastAsia="zh-CN" w:bidi="ar-SA"/>
        </w:rPr>
        <w:t>）优化现有</w:t>
      </w:r>
      <w:r>
        <w:rPr>
          <w:rFonts w:hint="eastAsia" w:ascii="仿宋_GB2312" w:hAnsi="仿宋_GB2312" w:eastAsia="仿宋_GB2312" w:cs="仿宋_GB2312"/>
          <w:b/>
          <w:bCs/>
          <w:kern w:val="2"/>
          <w:sz w:val="32"/>
          <w:szCs w:val="32"/>
          <w:lang w:eastAsia="zh-CN" w:bidi="ar-SA"/>
        </w:rPr>
        <w:t>技改</w:t>
      </w:r>
      <w:r>
        <w:rPr>
          <w:rFonts w:hint="default" w:ascii="仿宋_GB2312" w:hAnsi="仿宋_GB2312" w:eastAsia="仿宋_GB2312" w:cs="仿宋_GB2312"/>
          <w:b/>
          <w:bCs/>
          <w:kern w:val="2"/>
          <w:sz w:val="32"/>
          <w:szCs w:val="32"/>
          <w:lang w:eastAsia="zh-CN" w:bidi="ar-SA"/>
        </w:rPr>
        <w:t>政策，</w:t>
      </w:r>
      <w:r>
        <w:rPr>
          <w:rFonts w:hint="eastAsia" w:ascii="仿宋_GB2312" w:hAnsi="仿宋_GB2312" w:eastAsia="仿宋_GB2312" w:cs="仿宋_GB2312"/>
          <w:b/>
          <w:bCs/>
          <w:kern w:val="2"/>
          <w:sz w:val="32"/>
          <w:szCs w:val="32"/>
          <w:lang w:eastAsia="zh-CN" w:bidi="ar-SA"/>
        </w:rPr>
        <w:t>提高企业满意度和获得感的需要</w:t>
      </w:r>
      <w:r>
        <w:rPr>
          <w:rFonts w:hint="default" w:ascii="仿宋_GB2312" w:hAnsi="仿宋_GB2312" w:eastAsia="仿宋_GB2312" w:cs="仿宋_GB2312"/>
          <w:b/>
          <w:bCs/>
          <w:kern w:val="2"/>
          <w:sz w:val="32"/>
          <w:szCs w:val="32"/>
          <w:lang w:eastAsia="zh-CN" w:bidi="ar-SA"/>
        </w:rPr>
        <w:t>。</w:t>
      </w:r>
    </w:p>
    <w:p>
      <w:pPr>
        <w:keepNext w:val="0"/>
        <w:keepLines w:val="0"/>
        <w:pageBreakBefore w:val="0"/>
        <w:widowControl w:val="0"/>
        <w:kinsoku/>
        <w:wordWrap/>
        <w:overflowPunct/>
        <w:topLinePunct w:val="0"/>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u w:val="single"/>
          <w:lang w:eastAsia="zh-CN" w:bidi="ar"/>
        </w:rPr>
      </w:pPr>
      <w:r>
        <w:rPr>
          <w:rFonts w:hint="eastAsia" w:ascii="仿宋_GB2312" w:hAnsi="仿宋_GB2312" w:eastAsia="仿宋_GB2312" w:cs="仿宋_GB2312"/>
          <w:b w:val="0"/>
          <w:bCs w:val="0"/>
          <w:color w:val="auto"/>
          <w:kern w:val="2"/>
          <w:sz w:val="32"/>
          <w:szCs w:val="32"/>
          <w:lang w:val="en-US" w:eastAsia="zh-CN" w:bidi="ar-SA"/>
        </w:rPr>
        <w:t>我区当前实行的技术改造政策是2021年制定，与其他区对比，我区现行技术改造政策有以下三个特点</w:t>
      </w:r>
      <w:r>
        <w:rPr>
          <w:rFonts w:hint="eastAsia" w:ascii="仿宋_GB2312" w:hAnsi="仿宋_GB2312" w:eastAsia="仿宋_GB2312" w:cs="仿宋_GB2312"/>
          <w:b w:val="0"/>
          <w:bCs w:val="0"/>
          <w:color w:val="auto"/>
          <w:kern w:val="2"/>
          <w:sz w:val="32"/>
          <w:szCs w:val="32"/>
          <w:highlight w:val="none"/>
          <w:lang w:val="en-US" w:eastAsia="zh-CN" w:bidi="ar-SA"/>
        </w:rPr>
        <w:t>：</w:t>
      </w:r>
      <w:r>
        <w:rPr>
          <w:rFonts w:hint="eastAsia" w:ascii="仿宋_GB2312" w:hAnsi="黑体" w:eastAsia="仿宋_GB2312" w:cs="黑体"/>
          <w:b/>
          <w:bCs/>
          <w:kern w:val="2"/>
          <w:sz w:val="32"/>
          <w:szCs w:val="32"/>
          <w:highlight w:val="none"/>
          <w:lang w:val="en-US" w:eastAsia="zh-CN" w:bidi="ar-SA"/>
        </w:rPr>
        <w:t>一是支持面广，</w:t>
      </w:r>
      <w:r>
        <w:rPr>
          <w:rFonts w:hint="eastAsia" w:ascii="仿宋_GB2312" w:hAnsi="黑体" w:eastAsia="仿宋_GB2312" w:cs="黑体"/>
          <w:b w:val="0"/>
          <w:bCs w:val="0"/>
          <w:kern w:val="2"/>
          <w:sz w:val="32"/>
          <w:szCs w:val="32"/>
          <w:highlight w:val="none"/>
          <w:lang w:val="en-US" w:eastAsia="zh-CN" w:bidi="ar-SA"/>
        </w:rPr>
        <w:t>面向所有工业企业实施的技术改造项目，不限产业领域；</w:t>
      </w:r>
      <w:r>
        <w:rPr>
          <w:rFonts w:hint="eastAsia" w:ascii="仿宋_GB2312" w:hAnsi="黑体" w:eastAsia="仿宋_GB2312" w:cs="黑体"/>
          <w:b/>
          <w:bCs/>
          <w:kern w:val="2"/>
          <w:sz w:val="32"/>
          <w:szCs w:val="32"/>
          <w:highlight w:val="none"/>
          <w:lang w:val="en-US" w:eastAsia="zh-CN" w:bidi="ar-SA"/>
        </w:rPr>
        <w:t>二是上限高，</w:t>
      </w:r>
      <w:r>
        <w:rPr>
          <w:rFonts w:hint="eastAsia" w:ascii="仿宋_GB2312" w:hAnsi="黑体" w:eastAsia="仿宋_GB2312" w:cs="黑体"/>
          <w:b w:val="0"/>
          <w:bCs w:val="0"/>
          <w:kern w:val="2"/>
          <w:sz w:val="32"/>
          <w:szCs w:val="32"/>
          <w:highlight w:val="none"/>
          <w:lang w:val="en-US" w:eastAsia="zh-CN" w:bidi="ar-SA"/>
        </w:rPr>
        <w:t>单个项目的支持上限为3000万元，受到广大工业企业的普遍欢迎，政策知晓度和满意度较高；</w:t>
      </w:r>
      <w:r>
        <w:rPr>
          <w:rFonts w:hint="eastAsia" w:ascii="仿宋_GB2312" w:hAnsi="黑体" w:eastAsia="仿宋_GB2312" w:cs="黑体"/>
          <w:b/>
          <w:bCs/>
          <w:kern w:val="2"/>
          <w:sz w:val="32"/>
          <w:szCs w:val="32"/>
          <w:highlight w:val="none"/>
          <w:lang w:val="en-US" w:eastAsia="zh-CN" w:bidi="ar-SA"/>
        </w:rPr>
        <w:t>三是推动数字化转型，</w:t>
      </w:r>
      <w:r>
        <w:rPr>
          <w:rFonts w:hint="eastAsia" w:ascii="仿宋_GB2312" w:hAnsi="黑体" w:eastAsia="仿宋_GB2312" w:cs="黑体"/>
          <w:b w:val="0"/>
          <w:bCs w:val="0"/>
          <w:kern w:val="2"/>
          <w:sz w:val="32"/>
          <w:szCs w:val="32"/>
          <w:highlight w:val="none"/>
          <w:lang w:val="en-US" w:eastAsia="zh-CN" w:bidi="ar-SA"/>
        </w:rPr>
        <w:t>补贴技术设备的同时，补贴生产制造执行系统等数字化投入，全力实现“数字龙华，都市核心”的战略部署，推动制造业数字化转型发展。但在政策执行过程中，也存在一定的问题：</w:t>
      </w:r>
      <w:r>
        <w:rPr>
          <w:rFonts w:hint="eastAsia" w:ascii="仿宋_GB2312" w:hAnsi="黑体" w:eastAsia="仿宋_GB2312" w:cs="黑体"/>
          <w:b/>
          <w:bCs/>
          <w:kern w:val="2"/>
          <w:sz w:val="32"/>
          <w:szCs w:val="32"/>
          <w:highlight w:val="none"/>
          <w:lang w:val="en-US" w:eastAsia="zh-CN" w:bidi="ar-SA"/>
        </w:rPr>
        <w:t>一是企业获得感下降。</w:t>
      </w:r>
      <w:r>
        <w:rPr>
          <w:rFonts w:hint="eastAsia" w:ascii="仿宋_GB2312" w:hAnsi="黑体" w:eastAsia="仿宋_GB2312" w:cs="黑体"/>
          <w:b w:val="0"/>
          <w:bCs w:val="0"/>
          <w:kern w:val="2"/>
          <w:sz w:val="32"/>
          <w:szCs w:val="32"/>
          <w:highlight w:val="none"/>
          <w:lang w:val="en-US" w:eastAsia="zh-CN" w:bidi="ar-SA"/>
        </w:rPr>
        <w:t>由于限定企业需有数字化模块投入，相对于传统技术改造项目</w:t>
      </w:r>
      <w:r>
        <w:rPr>
          <w:rFonts w:hint="eastAsia" w:ascii="仿宋_GB2312" w:hAnsi="黑体" w:eastAsia="仿宋_GB2312" w:cs="黑体"/>
          <w:b w:val="0"/>
          <w:bCs w:val="0"/>
          <w:kern w:val="2"/>
          <w:sz w:val="32"/>
          <w:szCs w:val="32"/>
          <w:lang w:val="en-US" w:eastAsia="zh-CN" w:bidi="ar-SA"/>
        </w:rPr>
        <w:t>，受限于数字化转型投入约束，企业获得感降低；</w:t>
      </w:r>
      <w:r>
        <w:rPr>
          <w:rFonts w:hint="eastAsia" w:ascii="仿宋_GB2312" w:hAnsi="黑体" w:eastAsia="仿宋_GB2312" w:cs="黑体"/>
          <w:b/>
          <w:bCs/>
          <w:kern w:val="2"/>
          <w:sz w:val="32"/>
          <w:szCs w:val="32"/>
          <w:lang w:val="en-US" w:eastAsia="zh-CN" w:bidi="ar-SA"/>
        </w:rPr>
        <w:t>二是审核环节过于严苛。</w:t>
      </w:r>
      <w:r>
        <w:rPr>
          <w:rFonts w:hint="eastAsia" w:ascii="仿宋_GB2312" w:hAnsi="黑体" w:eastAsia="仿宋_GB2312" w:cs="黑体"/>
          <w:b w:val="0"/>
          <w:bCs w:val="0"/>
          <w:kern w:val="2"/>
          <w:sz w:val="32"/>
          <w:szCs w:val="32"/>
          <w:lang w:val="en-US" w:eastAsia="zh-CN" w:bidi="ar-SA"/>
        </w:rPr>
        <w:t>在政策执行过程中，为了堵塞资金管理漏洞，在专项审计环节中的要求不断增加，虽然一定程度上降低了企业钻空子的政策风险，但在实际执行中也存审核时间长等问题；</w:t>
      </w:r>
      <w:r>
        <w:rPr>
          <w:rFonts w:hint="eastAsia" w:ascii="仿宋_GB2312" w:hAnsi="黑体" w:eastAsia="仿宋_GB2312" w:cs="黑体"/>
          <w:b/>
          <w:bCs/>
          <w:kern w:val="2"/>
          <w:sz w:val="32"/>
          <w:szCs w:val="32"/>
          <w:highlight w:val="none"/>
          <w:lang w:val="en-US" w:eastAsia="zh-CN" w:bidi="ar-SA"/>
        </w:rPr>
        <w:t>三是门槛较高，</w:t>
      </w:r>
      <w:r>
        <w:rPr>
          <w:rFonts w:hint="eastAsia" w:ascii="仿宋_GB2312" w:hAnsi="黑体" w:eastAsia="仿宋_GB2312" w:cs="黑体"/>
          <w:b w:val="0"/>
          <w:bCs w:val="0"/>
          <w:kern w:val="2"/>
          <w:sz w:val="32"/>
          <w:szCs w:val="32"/>
          <w:highlight w:val="none"/>
          <w:lang w:val="en-US" w:eastAsia="zh-CN" w:bidi="ar-SA"/>
        </w:rPr>
        <w:t>要求项目固定资产投资建设费用纳统500万元以上，降低小规模投资需求企业的设备更新积极性。</w:t>
      </w:r>
      <w:r>
        <w:rPr>
          <w:rFonts w:hint="eastAsia" w:ascii="仿宋_GB2312" w:hAnsi="仿宋_GB2312" w:eastAsia="仿宋_GB2312" w:cs="仿宋_GB2312"/>
          <w:b w:val="0"/>
          <w:bCs w:val="0"/>
          <w:color w:val="000000"/>
          <w:sz w:val="32"/>
          <w:szCs w:val="32"/>
          <w:u w:val="none"/>
          <w:lang w:eastAsia="zh-CN" w:bidi="ar"/>
        </w:rPr>
        <w:t>因此，也有必要从政策执行、审核程序、资金保障等方面优化现行技术改造扶持政策，进一步提高企业满意度和获得感，实现政府和企业的双赢。</w:t>
      </w:r>
    </w:p>
    <w:p>
      <w:pPr>
        <w:keepNext w:val="0"/>
        <w:keepLines w:val="0"/>
        <w:pageBreakBefore w:val="0"/>
        <w:widowControl w:val="0"/>
        <w:kinsoku/>
        <w:wordWrap/>
        <w:overflowPunct/>
        <w:topLinePunct w:val="0"/>
        <w:autoSpaceDE w:val="0"/>
        <w:autoSpaceDN/>
        <w:bidi w:val="0"/>
        <w:adjustRightInd/>
        <w:snapToGrid/>
        <w:spacing w:line="560" w:lineRule="exact"/>
        <w:ind w:firstLine="642" w:firstLineChars="200"/>
        <w:jc w:val="both"/>
        <w:textAlignment w:val="auto"/>
        <w:rPr>
          <w:rFonts w:hint="eastAsia" w:eastAsia="仿宋_GB2312"/>
          <w:sz w:val="32"/>
          <w:szCs w:val="32"/>
          <w:highlight w:val="none"/>
        </w:rPr>
      </w:pPr>
      <w:r>
        <w:rPr>
          <w:rFonts w:hint="eastAsia" w:ascii="仿宋_GB2312" w:hAnsi="黑体" w:eastAsia="仿宋_GB2312" w:cs="黑体"/>
          <w:b/>
          <w:bCs/>
          <w:kern w:val="2"/>
          <w:sz w:val="32"/>
          <w:szCs w:val="32"/>
          <w:lang w:val="en-US" w:eastAsia="zh-CN" w:bidi="ar-SA"/>
        </w:rPr>
        <w:t>综上所述，</w:t>
      </w:r>
      <w:r>
        <w:rPr>
          <w:rFonts w:hint="eastAsia" w:ascii="仿宋_GB2312" w:hAnsi="黑体" w:eastAsia="仿宋_GB2312" w:cs="黑体"/>
          <w:b w:val="0"/>
          <w:bCs w:val="0"/>
          <w:kern w:val="2"/>
          <w:sz w:val="32"/>
          <w:szCs w:val="32"/>
          <w:lang w:val="en-US" w:eastAsia="zh-CN" w:bidi="ar-SA"/>
        </w:rPr>
        <w:t>为深入贯彻落实国家、省、市关于“促投资、稳增长”的工作部署，有效应对当前的经济发展形式，持续提升我区工业技术投资规模和质量，促进制造业高端化、智能化、绿色化转型发展，进一步提升企业满意度和获得感，有必要对我区现行企业技术改造政策进行优化调整，</w:t>
      </w:r>
      <w:r>
        <w:rPr>
          <w:rFonts w:hint="eastAsia" w:ascii="仿宋_GB2312" w:eastAsia="仿宋_GB2312"/>
          <w:sz w:val="32"/>
          <w:szCs w:val="32"/>
          <w:highlight w:val="none"/>
          <w:lang w:eastAsia="zh-CN"/>
        </w:rPr>
        <w:t>充分发挥好政策引导带动作用，确保各项政策措施目标的实现。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color w:val="000000" w:themeColor="text1"/>
          <w:sz w:val="32"/>
          <w:szCs w:val="32"/>
          <w14:textFill>
            <w14:solidFill>
              <w14:schemeClr w14:val="tx1"/>
            </w14:solidFill>
          </w14:textFill>
        </w:rPr>
        <w:t>二、</w:t>
      </w:r>
      <w:r>
        <w:rPr>
          <w:rFonts w:hint="eastAsia" w:ascii="黑体" w:hAnsi="黑体" w:eastAsia="黑体" w:cs="黑体"/>
          <w:sz w:val="32"/>
          <w:szCs w:val="32"/>
          <w:lang w:eastAsia="zh-CN"/>
        </w:rPr>
        <w:t>政策的主要内容</w:t>
      </w:r>
    </w:p>
    <w:p>
      <w:pPr>
        <w:pStyle w:val="2"/>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（一）整体思路和政策目标</w:t>
      </w:r>
    </w:p>
    <w:p>
      <w:pPr>
        <w:pStyle w:val="2"/>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以全球领先的重要的先进制造业中心区建设为统领，锚定高质量发展</w:t>
      </w:r>
      <w:r>
        <w:rPr>
          <w:rFonts w:hint="eastAsia" w:ascii="Times New Roman" w:hAnsi="Times New Roman" w:eastAsia="仿宋_GB2312" w:cs="Times New Roman"/>
          <w:b/>
          <w:bCs/>
          <w:sz w:val="32"/>
          <w:szCs w:val="32"/>
          <w:lang w:eastAsia="zh-CN"/>
        </w:rPr>
        <w:t>首要任务</w:t>
      </w:r>
      <w:r>
        <w:rPr>
          <w:rFonts w:hint="eastAsia" w:ascii="Times New Roman" w:hAnsi="Times New Roman" w:eastAsia="仿宋_GB2312" w:cs="Times New Roman"/>
          <w:sz w:val="32"/>
          <w:szCs w:val="32"/>
          <w:lang w:eastAsia="zh-CN"/>
        </w:rPr>
        <w:t>，以高端化、智能化、绿色化为</w:t>
      </w:r>
      <w:r>
        <w:rPr>
          <w:rFonts w:hint="eastAsia" w:ascii="Times New Roman" w:hAnsi="Times New Roman" w:eastAsia="仿宋_GB2312" w:cs="Times New Roman"/>
          <w:b/>
          <w:bCs/>
          <w:sz w:val="32"/>
          <w:szCs w:val="32"/>
          <w:lang w:eastAsia="zh-CN"/>
        </w:rPr>
        <w:t>主攻方向</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b/>
          <w:bCs/>
          <w:sz w:val="32"/>
          <w:szCs w:val="32"/>
          <w:lang w:eastAsia="zh-CN"/>
        </w:rPr>
        <w:t>聚焦</w:t>
      </w:r>
      <w:r>
        <w:rPr>
          <w:rFonts w:hint="eastAsia" w:ascii="Times New Roman" w:hAnsi="Times New Roman" w:eastAsia="仿宋_GB2312" w:cs="Times New Roman"/>
          <w:sz w:val="32"/>
          <w:szCs w:val="32"/>
          <w:lang w:eastAsia="zh-CN"/>
        </w:rPr>
        <w:t>重大项目和优质企业，以优化整合现有政策为主、新设政策为辅，从</w:t>
      </w:r>
      <w:r>
        <w:rPr>
          <w:rFonts w:hint="eastAsia" w:ascii="Times New Roman" w:hAnsi="Times New Roman" w:eastAsia="仿宋_GB2312" w:cs="Times New Roman"/>
          <w:b w:val="0"/>
          <w:bCs w:val="0"/>
          <w:sz w:val="32"/>
          <w:szCs w:val="32"/>
          <w:lang w:eastAsia="zh-CN"/>
        </w:rPr>
        <w:t>投资奖补、应用示范、融资支持、空间保障</w:t>
      </w:r>
      <w:r>
        <w:rPr>
          <w:rFonts w:hint="eastAsia" w:ascii="Times New Roman" w:hAnsi="Times New Roman" w:eastAsia="仿宋_GB2312" w:cs="Times New Roman"/>
          <w:sz w:val="32"/>
          <w:szCs w:val="32"/>
          <w:lang w:eastAsia="zh-CN"/>
        </w:rPr>
        <w:t>、备案管理、及时纳统、加强组织领导等方面</w:t>
      </w:r>
      <w:r>
        <w:rPr>
          <w:rFonts w:hint="eastAsia" w:ascii="仿宋_GB2312" w:hAnsi="仿宋_GB2312" w:eastAsia="仿宋_GB2312" w:cs="仿宋_GB2312"/>
          <w:sz w:val="32"/>
          <w:szCs w:val="32"/>
          <w:lang w:eastAsia="zh-CN"/>
        </w:rPr>
        <w:t>提出</w:t>
      </w:r>
      <w:r>
        <w:rPr>
          <w:rFonts w:hint="eastAsia" w:ascii="仿宋_GB2312" w:hAnsi="仿宋_GB2312" w:eastAsia="仿宋_GB2312" w:cs="仿宋_GB2312"/>
          <w:b w:val="0"/>
          <w:bCs w:val="0"/>
          <w:color w:val="auto"/>
          <w:sz w:val="32"/>
          <w:szCs w:val="32"/>
          <w:lang w:val="en-US" w:eastAsia="zh-CN"/>
        </w:rPr>
        <w:t>12</w:t>
      </w:r>
      <w:r>
        <w:rPr>
          <w:rFonts w:hint="eastAsia" w:ascii="仿宋_GB2312" w:hAnsi="仿宋_GB2312" w:eastAsia="仿宋_GB2312" w:cs="仿宋_GB2312"/>
          <w:sz w:val="32"/>
          <w:szCs w:val="32"/>
          <w:lang w:val="en-US" w:eastAsia="zh-CN"/>
        </w:rPr>
        <w:t>条</w:t>
      </w:r>
      <w:r>
        <w:rPr>
          <w:rFonts w:hint="eastAsia" w:ascii="仿宋_GB2312" w:hAnsi="仿宋_GB2312" w:eastAsia="仿宋_GB2312" w:cs="仿宋_GB2312"/>
          <w:b w:val="0"/>
          <w:bCs w:val="0"/>
          <w:sz w:val="32"/>
          <w:szCs w:val="32"/>
          <w:lang w:val="en-US" w:eastAsia="zh-CN"/>
        </w:rPr>
        <w:t>具体措施</w:t>
      </w:r>
      <w:r>
        <w:rPr>
          <w:rFonts w:hint="eastAsia" w:ascii="Times New Roman" w:hAnsi="Times New Roman" w:eastAsia="仿宋_GB2312" w:cs="Times New Roman"/>
          <w:sz w:val="32"/>
          <w:szCs w:val="32"/>
          <w:lang w:val="en-US" w:eastAsia="zh-CN"/>
        </w:rPr>
        <w:t>，其中涉及</w:t>
      </w:r>
      <w:r>
        <w:rPr>
          <w:rFonts w:hint="eastAsia" w:ascii="仿宋_GB2312" w:hAnsi="仿宋_GB2312" w:eastAsia="仿宋_GB2312" w:cs="仿宋_GB2312"/>
          <w:b w:val="0"/>
          <w:bCs w:val="0"/>
          <w:color w:val="auto"/>
          <w:sz w:val="32"/>
          <w:szCs w:val="32"/>
          <w:lang w:val="en-US" w:eastAsia="zh-CN"/>
        </w:rPr>
        <w:t>7类</w:t>
      </w:r>
      <w:r>
        <w:rPr>
          <w:rFonts w:hint="eastAsia" w:ascii="Times New Roman" w:hAnsi="Times New Roman" w:eastAsia="仿宋_GB2312" w:cs="Times New Roman"/>
          <w:sz w:val="32"/>
          <w:szCs w:val="32"/>
          <w:lang w:val="en-US" w:eastAsia="zh-CN"/>
        </w:rPr>
        <w:t>产业专项资金，实施新一轮工业技改提级行动。</w:t>
      </w:r>
    </w:p>
    <w:p>
      <w:pPr>
        <w:pStyle w:val="2"/>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（二）政策依据</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sz w:val="32"/>
          <w:szCs w:val="32"/>
          <w:lang w:eastAsia="zh-CN"/>
        </w:rPr>
        <w:t>《龙华区关于新形势下鼓励企业加大工业投资力度推动大规模设备更新的若干措施》</w:t>
      </w:r>
      <w:r>
        <w:rPr>
          <w:rFonts w:hint="eastAsia" w:ascii="仿宋_GB2312" w:hAnsi="仿宋_GB2312" w:eastAsia="仿宋_GB2312" w:cs="仿宋_GB2312"/>
          <w:kern w:val="2"/>
          <w:sz w:val="32"/>
          <w:szCs w:val="32"/>
          <w:u w:val="none"/>
          <w:lang w:val="en-US" w:eastAsia="zh-CN" w:bidi="ar-SA"/>
        </w:rPr>
        <w:t>第四条“鼓励企业加速大规模技术改造”、第六条“推动制造业优质项目落地”</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r>
        <w:rPr>
          <w:rFonts w:hint="eastAsia" w:ascii="楷体_GB2312" w:hAnsi="楷体_GB2312" w:eastAsia="楷体_GB2312" w:cs="楷体_GB2312"/>
          <w:b w:val="0"/>
          <w:bCs w:val="0"/>
          <w:sz w:val="32"/>
          <w:szCs w:val="32"/>
          <w:lang w:eastAsia="zh-CN"/>
        </w:rPr>
        <w:t>（三）主要内容</w:t>
      </w:r>
    </w:p>
    <w:p>
      <w:pPr>
        <w:keepNext w:val="0"/>
        <w:keepLines w:val="0"/>
        <w:pageBreakBefore w:val="0"/>
        <w:widowControl w:val="0"/>
        <w:kinsoku/>
        <w:wordWrap/>
        <w:overflowPunct w:val="0"/>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b/>
          <w:bCs/>
          <w:color w:val="auto"/>
          <w:kern w:val="0"/>
          <w:sz w:val="32"/>
          <w:szCs w:val="32"/>
          <w:highlight w:val="none"/>
          <w:lang w:val="en" w:eastAsia="zh-CN"/>
        </w:rPr>
      </w:pPr>
      <w:r>
        <w:rPr>
          <w:rFonts w:hint="default" w:ascii="仿宋_GB2312" w:hAnsi="仿宋_GB2312" w:eastAsia="仿宋_GB2312" w:cs="仿宋_GB2312"/>
          <w:b/>
          <w:bCs/>
          <w:color w:val="auto"/>
          <w:kern w:val="0"/>
          <w:sz w:val="32"/>
          <w:szCs w:val="32"/>
          <w:highlight w:val="none"/>
          <w:lang w:val="en" w:eastAsia="zh-CN"/>
        </w:rPr>
        <w:t>资助标准：</w:t>
      </w:r>
    </w:p>
    <w:p>
      <w:pPr>
        <w:keepNext w:val="0"/>
        <w:keepLines w:val="0"/>
        <w:pageBreakBefore w:val="0"/>
        <w:widowControl w:val="0"/>
        <w:kinsoku/>
        <w:wordWrap/>
        <w:overflowPunct w:val="0"/>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kern w:val="0"/>
          <w:sz w:val="32"/>
          <w:szCs w:val="32"/>
          <w:highlight w:val="none"/>
        </w:rPr>
      </w:pPr>
      <w:r>
        <w:rPr>
          <w:rFonts w:hint="default" w:ascii="仿宋_GB2312" w:hAnsi="仿宋_GB2312" w:eastAsia="仿宋_GB2312" w:cs="仿宋_GB2312"/>
          <w:b/>
          <w:bCs/>
          <w:color w:val="auto"/>
          <w:kern w:val="0"/>
          <w:sz w:val="32"/>
          <w:szCs w:val="32"/>
          <w:highlight w:val="none"/>
          <w:lang w:val="en"/>
        </w:rPr>
        <w:t>一是</w:t>
      </w:r>
      <w:r>
        <w:rPr>
          <w:rFonts w:hint="eastAsia" w:ascii="仿宋_GB2312" w:hAnsi="仿宋_GB2312" w:eastAsia="仿宋_GB2312" w:cs="仿宋_GB2312"/>
          <w:color w:val="auto"/>
          <w:kern w:val="0"/>
          <w:sz w:val="32"/>
          <w:szCs w:val="32"/>
          <w:highlight w:val="none"/>
        </w:rPr>
        <w:t>企业</w:t>
      </w:r>
      <w:r>
        <w:rPr>
          <w:rFonts w:hint="eastAsia" w:ascii="仿宋_GB2312" w:hAnsi="仿宋_GB2312" w:eastAsia="仿宋_GB2312" w:cs="仿宋_GB2312"/>
          <w:color w:val="auto"/>
          <w:kern w:val="0"/>
          <w:sz w:val="32"/>
          <w:szCs w:val="32"/>
          <w:highlight w:val="none"/>
          <w:lang w:eastAsia="zh-CN"/>
        </w:rPr>
        <w:t>技术改造</w:t>
      </w:r>
      <w:r>
        <w:rPr>
          <w:rFonts w:hint="eastAsia" w:ascii="仿宋_GB2312" w:hAnsi="仿宋_GB2312" w:eastAsia="仿宋_GB2312" w:cs="仿宋_GB2312"/>
          <w:color w:val="auto"/>
          <w:kern w:val="0"/>
          <w:sz w:val="32"/>
          <w:szCs w:val="32"/>
          <w:highlight w:val="none"/>
        </w:rPr>
        <w:t>项目纳入</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工业</w:t>
      </w:r>
      <w:r>
        <w:rPr>
          <w:rFonts w:hint="eastAsia" w:ascii="仿宋_GB2312" w:hAnsi="仿宋_GB2312" w:eastAsia="仿宋_GB2312" w:cs="仿宋_GB2312"/>
          <w:color w:val="auto"/>
          <w:kern w:val="0"/>
          <w:sz w:val="32"/>
          <w:szCs w:val="32"/>
          <w:highlight w:val="none"/>
          <w:lang w:eastAsia="zh-CN"/>
        </w:rPr>
        <w:t>企业技术改造”</w:t>
      </w:r>
      <w:r>
        <w:rPr>
          <w:rFonts w:hint="eastAsia" w:ascii="仿宋_GB2312" w:hAnsi="仿宋_GB2312" w:eastAsia="仿宋_GB2312" w:cs="仿宋_GB2312"/>
          <w:color w:val="auto"/>
          <w:kern w:val="0"/>
          <w:sz w:val="32"/>
          <w:szCs w:val="32"/>
          <w:highlight w:val="none"/>
        </w:rPr>
        <w:t>统计</w:t>
      </w:r>
      <w:r>
        <w:rPr>
          <w:rFonts w:hint="eastAsia" w:ascii="仿宋_GB2312" w:hAnsi="仿宋_GB2312" w:eastAsia="仿宋_GB2312" w:cs="仿宋_GB2312"/>
          <w:color w:val="auto"/>
          <w:kern w:val="0"/>
          <w:sz w:val="32"/>
          <w:szCs w:val="32"/>
          <w:highlight w:val="none"/>
          <w:lang w:eastAsia="zh-CN"/>
        </w:rPr>
        <w:t>类别</w:t>
      </w:r>
      <w:r>
        <w:rPr>
          <w:rFonts w:hint="eastAsia" w:ascii="仿宋_GB2312" w:hAnsi="仿宋_GB2312" w:eastAsia="仿宋_GB2312" w:cs="仿宋_GB2312"/>
          <w:color w:val="auto"/>
          <w:kern w:val="0"/>
          <w:sz w:val="32"/>
          <w:szCs w:val="32"/>
          <w:highlight w:val="none"/>
        </w:rPr>
        <w:t>的，</w:t>
      </w:r>
      <w:r>
        <w:rPr>
          <w:rFonts w:hint="eastAsia" w:ascii="仿宋_GB2312" w:hAnsi="仿宋_GB2312" w:eastAsia="仿宋_GB2312" w:cs="仿宋_GB2312"/>
          <w:color w:val="auto"/>
          <w:kern w:val="0"/>
          <w:sz w:val="32"/>
          <w:szCs w:val="32"/>
          <w:highlight w:val="none"/>
          <w:lang w:eastAsia="zh-CN"/>
        </w:rPr>
        <w:t>按照项目总投资额给予分档资助</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1.投资额在150万元以上、500万元以下的，给予不超过项目审定总投资额6%的资助。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2.投资额在500万元以上、2000万元以下的，给予不超过项目审定总投资额12%的资助。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3.投资额在2000万元以上、5000万元以下的，给予不超过项目审定总投资额15%的资助。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4.投资额在5000万元以上、1亿元以下的，给予不超过项目审定总投资额20%的资助。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5.对投资额达到1亿元以上的技术改造项目，区级财政资金按照不超过项目审定总投资额的20%给予资助。其中，1亿元以下部分按照20%给予资助，1亿元以上部分按5%给予资助。单个项目最高资助上限为4000万元。</w:t>
      </w:r>
    </w:p>
    <w:p>
      <w:pPr>
        <w:pStyle w:val="5"/>
        <w:pageBreakBefore w:val="0"/>
        <w:kinsoku/>
        <w:wordWrap/>
        <w:topLinePunct w:val="0"/>
        <w:bidi w:val="0"/>
        <w:spacing w:line="560" w:lineRule="exact"/>
        <w:ind w:firstLine="642" w:firstLineChars="20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二是</w:t>
      </w:r>
      <w:r>
        <w:rPr>
          <w:rFonts w:hint="eastAsia" w:ascii="仿宋_GB2312" w:hAnsi="仿宋_GB2312" w:eastAsia="仿宋_GB2312" w:cs="仿宋_GB2312"/>
          <w:color w:val="auto"/>
          <w:kern w:val="0"/>
          <w:sz w:val="32"/>
          <w:szCs w:val="32"/>
          <w:highlight w:val="none"/>
          <w:lang w:eastAsia="zh-CN"/>
        </w:rPr>
        <w:t>企业纳入“工业投资”统计类别的项目，其中新建生产线设备投资额达到2000万元以上并完成纳统的，给予不超过项目设备审定总投资额10%的资助，单个项目最高资助上限为1000万元。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bCs/>
          <w:color w:val="auto"/>
          <w:sz w:val="32"/>
          <w:szCs w:val="32"/>
          <w:u w:val="none"/>
          <w:lang w:val="en-US" w:eastAsia="zh-CN"/>
        </w:rPr>
      </w:pPr>
      <w:r>
        <w:rPr>
          <w:rFonts w:hint="eastAsia" w:ascii="仿宋_GB2312" w:hAnsi="仿宋_GB2312" w:eastAsia="仿宋_GB2312" w:cs="仿宋_GB2312"/>
          <w:b/>
          <w:bCs/>
          <w:color w:val="auto"/>
          <w:sz w:val="32"/>
          <w:szCs w:val="32"/>
          <w:u w:val="none"/>
          <w:lang w:val="en-US" w:eastAsia="zh-CN"/>
        </w:rPr>
        <w:t>资助范围：</w:t>
      </w:r>
    </w:p>
    <w:p>
      <w:pPr>
        <w:keepNext w:val="0"/>
        <w:keepLines w:val="0"/>
        <w:pageBreakBefore w:val="0"/>
        <w:widowControl w:val="0"/>
        <w:kinsoku/>
        <w:wordWrap/>
        <w:overflowPunct/>
        <w:topLinePunct w:val="0"/>
        <w:autoSpaceDE w:val="0"/>
        <w:autoSpaceDN/>
        <w:bidi w:val="0"/>
        <w:adjustRightInd/>
        <w:snapToGrid/>
        <w:spacing w:line="560" w:lineRule="exact"/>
        <w:ind w:firstLine="642" w:firstLineChars="200"/>
        <w:textAlignment w:val="auto"/>
        <w:rPr>
          <w:rFonts w:hint="eastAsia"/>
          <w:color w:val="auto"/>
          <w:lang w:val="en-US" w:eastAsia="zh-CN"/>
        </w:rPr>
      </w:pPr>
      <w:r>
        <w:rPr>
          <w:rFonts w:hint="eastAsia" w:ascii="仿宋_GB2312" w:hAnsi="宋体" w:eastAsia="仿宋_GB2312"/>
          <w:b/>
          <w:bCs/>
          <w:color w:val="auto"/>
          <w:sz w:val="32"/>
          <w:szCs w:val="32"/>
          <w:highlight w:val="none"/>
          <w:u w:val="none"/>
          <w:shd w:val="clear" w:color="auto" w:fill="FFFFFF"/>
          <w:lang w:eastAsia="zh-CN"/>
        </w:rPr>
        <w:t>一是</w:t>
      </w:r>
      <w:r>
        <w:rPr>
          <w:rFonts w:hint="eastAsia" w:ascii="仿宋_GB2312" w:hAnsi="宋体" w:eastAsia="仿宋_GB2312"/>
          <w:color w:val="auto"/>
          <w:sz w:val="32"/>
          <w:szCs w:val="32"/>
          <w:highlight w:val="none"/>
          <w:u w:val="none"/>
          <w:shd w:val="clear" w:color="auto" w:fill="FFFFFF"/>
        </w:rPr>
        <w:t>已完成</w:t>
      </w:r>
      <w:r>
        <w:rPr>
          <w:rFonts w:hint="eastAsia" w:ascii="仿宋_GB2312" w:hAnsi="宋体" w:eastAsia="仿宋_GB2312"/>
          <w:color w:val="auto"/>
          <w:sz w:val="32"/>
          <w:szCs w:val="32"/>
          <w:highlight w:val="none"/>
          <w:u w:val="none"/>
          <w:shd w:val="clear" w:color="auto" w:fill="FFFFFF"/>
          <w:lang w:eastAsia="zh-CN"/>
        </w:rPr>
        <w:t>工业技术改造项目</w:t>
      </w:r>
      <w:r>
        <w:rPr>
          <w:rFonts w:hint="eastAsia" w:ascii="仿宋_GB2312" w:hAnsi="宋体" w:eastAsia="仿宋_GB2312"/>
          <w:color w:val="auto"/>
          <w:sz w:val="32"/>
          <w:szCs w:val="32"/>
          <w:highlight w:val="none"/>
          <w:u w:val="none"/>
          <w:shd w:val="clear" w:color="auto" w:fill="FFFFFF"/>
        </w:rPr>
        <w:t>备案，且已按规定</w:t>
      </w:r>
      <w:r>
        <w:rPr>
          <w:rFonts w:hint="eastAsia" w:ascii="仿宋_GB2312" w:hAnsi="宋体" w:eastAsia="仿宋_GB2312"/>
          <w:color w:val="auto"/>
          <w:sz w:val="32"/>
          <w:szCs w:val="32"/>
          <w:highlight w:val="none"/>
          <w:u w:val="none"/>
          <w:shd w:val="clear" w:color="auto" w:fill="FFFFFF"/>
          <w:lang w:val="en-US" w:eastAsia="zh-CN"/>
        </w:rPr>
        <w:t>完成工业投资纳统的技术改造项目。</w:t>
      </w:r>
    </w:p>
    <w:p>
      <w:pPr>
        <w:keepNext w:val="0"/>
        <w:keepLines w:val="0"/>
        <w:pageBreakBefore w:val="0"/>
        <w:widowControl w:val="0"/>
        <w:kinsoku/>
        <w:wordWrap/>
        <w:overflowPunct/>
        <w:topLinePunct w:val="0"/>
        <w:autoSpaceDE w:val="0"/>
        <w:autoSpaceDN/>
        <w:bidi w:val="0"/>
        <w:adjustRightInd/>
        <w:snapToGrid/>
        <w:spacing w:line="560" w:lineRule="exact"/>
        <w:ind w:firstLine="642" w:firstLineChars="200"/>
        <w:textAlignment w:val="auto"/>
        <w:rPr>
          <w:rFonts w:hint="default" w:ascii="仿宋_GB2312" w:eastAsia="仿宋_GB2312"/>
          <w:b w:val="0"/>
          <w:bCs w:val="0"/>
          <w:color w:val="auto"/>
          <w:sz w:val="32"/>
          <w:szCs w:val="32"/>
          <w:lang w:val="en-US" w:eastAsia="zh-CN"/>
        </w:rPr>
      </w:pPr>
      <w:r>
        <w:rPr>
          <w:rFonts w:hint="eastAsia" w:ascii="仿宋_GB2312" w:hAnsi="楷体_GB2312" w:eastAsia="仿宋_GB2312"/>
          <w:b/>
          <w:bCs/>
          <w:color w:val="auto"/>
          <w:sz w:val="32"/>
          <w:szCs w:val="32"/>
          <w:highlight w:val="none"/>
          <w:lang w:val="en-US" w:eastAsia="zh-CN"/>
        </w:rPr>
        <w:t>二是</w:t>
      </w:r>
      <w:r>
        <w:rPr>
          <w:rFonts w:hint="eastAsia" w:ascii="仿宋_GB2312" w:hAnsi="楷体_GB2312" w:eastAsia="仿宋_GB2312"/>
          <w:color w:val="auto"/>
          <w:sz w:val="32"/>
          <w:szCs w:val="32"/>
          <w:highlight w:val="none"/>
          <w:lang w:val="en-US" w:eastAsia="zh-CN"/>
        </w:rPr>
        <w:t>企业投资的新购置生产线中生产相关设备。</w:t>
      </w:r>
    </w:p>
    <w:p>
      <w:pPr>
        <w:keepNext w:val="0"/>
        <w:keepLines w:val="0"/>
        <w:pageBreakBefore w:val="0"/>
        <w:widowControl w:val="0"/>
        <w:kinsoku/>
        <w:wordWrap/>
        <w:overflowPunct/>
        <w:topLinePunct w:val="0"/>
        <w:autoSpaceDE w:val="0"/>
        <w:autoSpaceDN/>
        <w:bidi w:val="0"/>
        <w:adjustRightInd/>
        <w:snapToGrid/>
        <w:spacing w:line="560" w:lineRule="exact"/>
        <w:ind w:firstLine="642" w:firstLineChars="200"/>
        <w:textAlignment w:val="auto"/>
        <w:rPr>
          <w:rFonts w:hint="eastAsia" w:ascii="仿宋_GB2312" w:hAnsi="楷体_GB2312" w:eastAsia="仿宋_GB2312"/>
          <w:color w:val="auto"/>
          <w:sz w:val="32"/>
          <w:szCs w:val="32"/>
          <w:highlight w:val="none"/>
          <w:shd w:val="clear" w:color="auto" w:fill="auto"/>
        </w:rPr>
      </w:pPr>
      <w:r>
        <w:rPr>
          <w:rFonts w:hint="eastAsia" w:ascii="仿宋_GB2312" w:hAnsi="楷体_GB2312" w:eastAsia="仿宋_GB2312"/>
          <w:b/>
          <w:bCs/>
          <w:color w:val="auto"/>
          <w:sz w:val="32"/>
          <w:szCs w:val="32"/>
          <w:highlight w:val="none"/>
          <w:lang w:eastAsia="zh-CN"/>
        </w:rPr>
        <w:t>三是</w:t>
      </w:r>
      <w:r>
        <w:rPr>
          <w:rFonts w:hint="eastAsia" w:ascii="仿宋_GB2312" w:hAnsi="楷体_GB2312" w:eastAsia="仿宋_GB2312"/>
          <w:color w:val="auto"/>
          <w:sz w:val="32"/>
          <w:szCs w:val="32"/>
          <w:highlight w:val="none"/>
        </w:rPr>
        <w:t>本项目采取事后资助方式，在实施完工并支付完毕投资建设费用后提出申请</w:t>
      </w:r>
      <w:r>
        <w:rPr>
          <w:rFonts w:hint="eastAsia" w:ascii="仿宋_GB2312" w:hAnsi="楷体_GB2312" w:eastAsia="仿宋_GB2312"/>
          <w:color w:val="auto"/>
          <w:sz w:val="32"/>
          <w:szCs w:val="32"/>
          <w:highlight w:val="none"/>
          <w:shd w:val="clear" w:color="auto" w:fill="auto"/>
        </w:rPr>
        <w:t>，</w:t>
      </w:r>
      <w:r>
        <w:rPr>
          <w:rFonts w:hint="eastAsia" w:ascii="仿宋_GB2312" w:hAnsi="楷体_GB2312" w:eastAsia="仿宋_GB2312"/>
          <w:i w:val="0"/>
          <w:iCs w:val="0"/>
          <w:color w:val="auto"/>
          <w:sz w:val="32"/>
          <w:szCs w:val="32"/>
          <w:highlight w:val="none"/>
          <w:u w:val="none"/>
          <w:shd w:val="clear" w:color="auto" w:fill="auto"/>
        </w:rPr>
        <w:t>资助范围为</w:t>
      </w:r>
      <w:r>
        <w:rPr>
          <w:rFonts w:hint="eastAsia" w:ascii="仿宋_GB2312" w:hAnsi="楷体_GB2312" w:eastAsia="仿宋_GB2312"/>
          <w:i w:val="0"/>
          <w:iCs w:val="0"/>
          <w:color w:val="auto"/>
          <w:sz w:val="32"/>
          <w:szCs w:val="32"/>
          <w:highlight w:val="none"/>
          <w:u w:val="none"/>
          <w:shd w:val="clear" w:color="auto" w:fill="auto"/>
          <w:lang w:eastAsia="zh-CN"/>
        </w:rPr>
        <w:t>上一年度</w:t>
      </w:r>
      <w:r>
        <w:rPr>
          <w:rFonts w:hint="eastAsia" w:ascii="仿宋_GB2312" w:hAnsi="楷体_GB2312" w:eastAsia="仿宋_GB2312"/>
          <w:i w:val="0"/>
          <w:iCs w:val="0"/>
          <w:color w:val="auto"/>
          <w:sz w:val="32"/>
          <w:szCs w:val="32"/>
          <w:highlight w:val="none"/>
          <w:u w:val="none"/>
          <w:shd w:val="clear" w:color="auto" w:fill="auto"/>
        </w:rPr>
        <w:t>至</w:t>
      </w:r>
      <w:r>
        <w:rPr>
          <w:rFonts w:hint="eastAsia" w:ascii="仿宋_GB2312" w:hAnsi="楷体_GB2312" w:eastAsia="仿宋_GB2312"/>
          <w:i w:val="0"/>
          <w:iCs w:val="0"/>
          <w:color w:val="auto"/>
          <w:sz w:val="32"/>
          <w:szCs w:val="32"/>
          <w:highlight w:val="none"/>
          <w:u w:val="none"/>
          <w:shd w:val="clear" w:color="auto" w:fill="auto"/>
          <w:lang w:eastAsia="zh-CN"/>
        </w:rPr>
        <w:t>项目申请日期间</w:t>
      </w:r>
      <w:r>
        <w:rPr>
          <w:rFonts w:hint="eastAsia" w:ascii="仿宋_GB2312" w:hAnsi="楷体_GB2312" w:eastAsia="仿宋_GB2312"/>
          <w:i w:val="0"/>
          <w:iCs w:val="0"/>
          <w:color w:val="auto"/>
          <w:sz w:val="32"/>
          <w:szCs w:val="32"/>
          <w:highlight w:val="none"/>
          <w:u w:val="none"/>
          <w:shd w:val="clear" w:color="auto" w:fill="auto"/>
        </w:rPr>
        <w:t>所发生的投资</w:t>
      </w:r>
      <w:r>
        <w:rPr>
          <w:rFonts w:hint="eastAsia" w:ascii="仿宋_GB2312" w:hAnsi="楷体_GB2312" w:eastAsia="仿宋_GB2312"/>
          <w:i w:val="0"/>
          <w:iCs w:val="0"/>
          <w:color w:val="auto"/>
          <w:sz w:val="32"/>
          <w:szCs w:val="32"/>
          <w:highlight w:val="none"/>
          <w:u w:val="none"/>
          <w:shd w:val="clear" w:color="auto" w:fill="auto"/>
          <w:lang w:eastAsia="zh-CN"/>
        </w:rPr>
        <w:t>费用</w:t>
      </w:r>
      <w:r>
        <w:rPr>
          <w:rFonts w:hint="eastAsia" w:ascii="仿宋_GB2312" w:hAnsi="楷体_GB2312" w:eastAsia="仿宋_GB2312"/>
          <w:color w:val="auto"/>
          <w:sz w:val="32"/>
          <w:szCs w:val="32"/>
          <w:highlight w:val="none"/>
          <w:shd w:val="clear" w:color="auto" w:fill="auto"/>
        </w:rPr>
        <w:t>。</w:t>
      </w:r>
    </w:p>
    <w:p>
      <w:pPr>
        <w:keepNext w:val="0"/>
        <w:keepLines w:val="0"/>
        <w:pageBreakBefore w:val="0"/>
        <w:widowControl w:val="0"/>
        <w:kinsoku/>
        <w:wordWrap/>
        <w:overflowPunct/>
        <w:topLinePunct w:val="0"/>
        <w:autoSpaceDE w:val="0"/>
        <w:autoSpaceDN/>
        <w:bidi w:val="0"/>
        <w:adjustRightInd/>
        <w:snapToGrid/>
        <w:spacing w:line="560" w:lineRule="exact"/>
        <w:ind w:firstLine="642" w:firstLineChars="200"/>
        <w:textAlignment w:val="auto"/>
        <w:rPr>
          <w:rFonts w:hint="eastAsia" w:ascii="仿宋_GB2312" w:hAnsi="楷体_GB2312" w:eastAsia="仿宋_GB2312"/>
          <w:b/>
          <w:bCs/>
          <w:color w:val="auto"/>
          <w:sz w:val="32"/>
          <w:szCs w:val="32"/>
          <w:highlight w:val="none"/>
          <w:shd w:val="clear" w:color="auto" w:fill="auto"/>
          <w:lang w:eastAsia="zh-CN"/>
        </w:rPr>
      </w:pPr>
      <w:r>
        <w:rPr>
          <w:rFonts w:hint="eastAsia" w:ascii="仿宋_GB2312" w:hAnsi="楷体_GB2312" w:eastAsia="仿宋_GB2312"/>
          <w:b/>
          <w:bCs/>
          <w:color w:val="auto"/>
          <w:sz w:val="32"/>
          <w:szCs w:val="32"/>
          <w:highlight w:val="none"/>
          <w:shd w:val="clear" w:color="auto" w:fill="auto"/>
          <w:lang w:eastAsia="zh-CN"/>
        </w:rPr>
        <w:t>申请条件：</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bCs/>
          <w:color w:val="auto"/>
          <w:kern w:val="0"/>
          <w:sz w:val="32"/>
          <w:szCs w:val="32"/>
          <w:highlight w:val="none"/>
          <w:lang w:eastAsia="zh-CN"/>
        </w:rPr>
        <w:t>一是</w:t>
      </w:r>
      <w:r>
        <w:rPr>
          <w:rFonts w:hint="eastAsia" w:ascii="仿宋_GB2312" w:hAnsi="仿宋_GB2312" w:eastAsia="仿宋_GB2312" w:cs="仿宋_GB2312"/>
          <w:color w:val="auto"/>
          <w:kern w:val="0"/>
          <w:sz w:val="32"/>
          <w:szCs w:val="32"/>
          <w:highlight w:val="none"/>
          <w:lang w:eastAsia="zh-CN"/>
        </w:rPr>
        <w:t>在龙华区生产经营满1年以上，实际经营地</w:t>
      </w:r>
      <w:r>
        <w:rPr>
          <w:rFonts w:hint="eastAsia" w:ascii="仿宋_GB2312" w:hAnsi="仿宋_GB2312" w:eastAsia="仿宋_GB2312" w:cs="仿宋_GB2312"/>
          <w:color w:val="auto"/>
          <w:kern w:val="0"/>
          <w:sz w:val="32"/>
          <w:szCs w:val="32"/>
          <w:highlight w:val="none"/>
        </w:rPr>
        <w:t>、统计关系在龙华区的独立法人企业</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b/>
          <w:bCs/>
          <w:color w:val="auto"/>
          <w:kern w:val="2"/>
          <w:sz w:val="32"/>
          <w:szCs w:val="32"/>
          <w:u w:val="none"/>
          <w:lang w:val="en-US" w:eastAsia="zh-CN" w:bidi="ar-SA"/>
        </w:rPr>
        <w:t>二是</w:t>
      </w:r>
      <w:r>
        <w:rPr>
          <w:rFonts w:hint="eastAsia" w:ascii="仿宋_GB2312" w:hAnsi="仿宋_GB2312" w:eastAsia="仿宋_GB2312" w:cs="仿宋_GB2312"/>
          <w:color w:val="auto"/>
          <w:kern w:val="2"/>
          <w:sz w:val="32"/>
          <w:szCs w:val="32"/>
          <w:u w:val="none"/>
          <w:lang w:val="en-US" w:eastAsia="zh-CN" w:bidi="ar-SA"/>
        </w:rPr>
        <w:t>符合上述条件的企业每年可申请一个项目，申报年度及上一年度产值均达到百亿级的企业，若符合以下条件之一，可同时申请两个项目：</w:t>
      </w:r>
    </w:p>
    <w:p>
      <w:pPr>
        <w:pStyle w:val="17"/>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1.申报年度及上一年度产值均实现正增长。</w:t>
      </w:r>
    </w:p>
    <w:p>
      <w:pPr>
        <w:pStyle w:val="17"/>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2.申报年度及上一年度纳入工业投资统计的项目完成投资额均达到5亿元。</w:t>
      </w:r>
    </w:p>
    <w:p>
      <w:pPr>
        <w:pStyle w:val="17"/>
        <w:keepNext w:val="0"/>
        <w:keepLines w:val="0"/>
        <w:pageBreakBefore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b w:val="0"/>
          <w:bCs w:val="0"/>
          <w:i w:val="0"/>
          <w:iCs w:val="0"/>
          <w:caps w:val="0"/>
          <w:color w:val="auto"/>
          <w:spacing w:val="0"/>
          <w:sz w:val="32"/>
          <w:szCs w:val="32"/>
          <w:highlight w:val="none"/>
          <w:lang w:eastAsia="zh-CN"/>
        </w:rPr>
      </w:pPr>
      <w:r>
        <w:rPr>
          <w:rFonts w:hint="eastAsia" w:ascii="仿宋_GB2312" w:hAnsi="楷体_GB2312" w:eastAsia="仿宋_GB2312" w:cs="Times New Roman"/>
          <w:b/>
          <w:bCs/>
          <w:color w:val="auto"/>
          <w:sz w:val="32"/>
          <w:szCs w:val="32"/>
          <w:highlight w:val="none"/>
          <w:lang w:val="en-US" w:eastAsia="zh-CN"/>
        </w:rPr>
        <w:t>三是</w:t>
      </w:r>
      <w:r>
        <w:rPr>
          <w:rFonts w:hint="eastAsia" w:ascii="仿宋_GB2312" w:hAnsi="楷体_GB2312" w:eastAsia="仿宋_GB2312" w:cs="Times New Roman"/>
          <w:color w:val="auto"/>
          <w:sz w:val="32"/>
          <w:szCs w:val="32"/>
          <w:highlight w:val="none"/>
          <w:lang w:val="en-US" w:eastAsia="zh-CN"/>
        </w:rPr>
        <w:t>区工业百强企业纳入工业技术改造投资项目总投资额达1亿元，且通过委外加工等形式实现的产</w:t>
      </w:r>
      <w:r>
        <w:rPr>
          <w:rFonts w:hint="eastAsia" w:ascii="仿宋_GB2312" w:hAnsi="楷体_GB2312" w:eastAsia="仿宋_GB2312" w:cs="Times New Roman"/>
          <w:b w:val="0"/>
          <w:bCs w:val="0"/>
          <w:color w:val="auto"/>
          <w:sz w:val="32"/>
          <w:szCs w:val="32"/>
          <w:highlight w:val="none"/>
          <w:lang w:val="en-US" w:eastAsia="zh-CN"/>
        </w:rPr>
        <w:t>值纳入龙华区统计云平台联网直报系统的，可将位于广东省内其他地区的分支机构新</w:t>
      </w:r>
      <w:r>
        <w:rPr>
          <w:rFonts w:hint="eastAsia" w:ascii="仿宋_GB2312" w:hAnsi="楷体_GB2312" w:eastAsia="仿宋_GB2312" w:cs="Times New Roman"/>
          <w:color w:val="auto"/>
          <w:sz w:val="32"/>
          <w:szCs w:val="32"/>
          <w:highlight w:val="none"/>
          <w:lang w:val="en-US" w:eastAsia="zh-CN"/>
        </w:rPr>
        <w:t>购产线设备纳入支持纳入支持。</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right="269" w:rightChars="128" w:firstLine="313" w:firstLineChars="112"/>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7</w:t>
    </w:r>
    <w:r>
      <w:rPr>
        <w:rStyle w:val="13"/>
        <w:rFonts w:ascii="宋体" w:hAnsi="宋体"/>
        <w:sz w:val="28"/>
        <w:szCs w:val="28"/>
      </w:rPr>
      <w:fldChar w:fldCharType="end"/>
    </w:r>
    <w:r>
      <w:rPr>
        <w:rStyle w:val="13"/>
        <w:rFonts w:hint="eastAsia" w:ascii="宋体" w:hAnsi="宋体"/>
        <w:sz w:val="28"/>
        <w:szCs w:val="28"/>
      </w:rPr>
      <w:t xml:space="preserve"> —</w:t>
    </w:r>
  </w:p>
  <w:p>
    <w:pPr>
      <w:pStyle w:val="8"/>
      <w:tabs>
        <w:tab w:val="left" w:pos="2340"/>
        <w:tab w:val="clear" w:pos="4153"/>
        <w:tab w:val="clear" w:pos="8306"/>
      </w:tabs>
    </w:pP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FF05F4"/>
    <w:rsid w:val="0F3DE839"/>
    <w:rsid w:val="1B6BE025"/>
    <w:rsid w:val="1FD4F445"/>
    <w:rsid w:val="2DF9F288"/>
    <w:rsid w:val="2F118B9B"/>
    <w:rsid w:val="35AF5664"/>
    <w:rsid w:val="361CBF83"/>
    <w:rsid w:val="3EFD9A38"/>
    <w:rsid w:val="3F67DFD5"/>
    <w:rsid w:val="3FF65F02"/>
    <w:rsid w:val="42B98129"/>
    <w:rsid w:val="457FD56C"/>
    <w:rsid w:val="4EBDCBC3"/>
    <w:rsid w:val="56DA78C1"/>
    <w:rsid w:val="633DD5B8"/>
    <w:rsid w:val="655A6030"/>
    <w:rsid w:val="67EE618F"/>
    <w:rsid w:val="6BDF38AD"/>
    <w:rsid w:val="6F5AC712"/>
    <w:rsid w:val="6FDB7E83"/>
    <w:rsid w:val="6FDE1545"/>
    <w:rsid w:val="71FF02CC"/>
    <w:rsid w:val="73EFA6C9"/>
    <w:rsid w:val="75DD7D38"/>
    <w:rsid w:val="75F7E245"/>
    <w:rsid w:val="767D8BFE"/>
    <w:rsid w:val="77BE112C"/>
    <w:rsid w:val="77BF1FD8"/>
    <w:rsid w:val="77DF6CF4"/>
    <w:rsid w:val="79EDDFA9"/>
    <w:rsid w:val="7A77BB12"/>
    <w:rsid w:val="7BFF25D2"/>
    <w:rsid w:val="7D7B8991"/>
    <w:rsid w:val="7DEAF24C"/>
    <w:rsid w:val="7DFB46A3"/>
    <w:rsid w:val="7E7EA6EC"/>
    <w:rsid w:val="7F3F0389"/>
    <w:rsid w:val="7FBB5B02"/>
    <w:rsid w:val="7FDAC0B2"/>
    <w:rsid w:val="7FEBEECA"/>
    <w:rsid w:val="7FFD480C"/>
    <w:rsid w:val="7FFF8911"/>
    <w:rsid w:val="7FFFC522"/>
    <w:rsid w:val="95FF4380"/>
    <w:rsid w:val="9C21F008"/>
    <w:rsid w:val="A9F1C53B"/>
    <w:rsid w:val="B6FF4E8F"/>
    <w:rsid w:val="BABEFEFC"/>
    <w:rsid w:val="BCF74E53"/>
    <w:rsid w:val="BDB52A4D"/>
    <w:rsid w:val="BDEF44B9"/>
    <w:rsid w:val="BEFF29E9"/>
    <w:rsid w:val="C4099089"/>
    <w:rsid w:val="C7FB1091"/>
    <w:rsid w:val="CDFDD99C"/>
    <w:rsid w:val="CEF65B07"/>
    <w:rsid w:val="D35F20BC"/>
    <w:rsid w:val="D6FB29B5"/>
    <w:rsid w:val="D7FE763D"/>
    <w:rsid w:val="D7FE952C"/>
    <w:rsid w:val="DFBF2E52"/>
    <w:rsid w:val="DFF9535E"/>
    <w:rsid w:val="DFFFF590"/>
    <w:rsid w:val="E6FFD86E"/>
    <w:rsid w:val="EBDD9436"/>
    <w:rsid w:val="ECFF6672"/>
    <w:rsid w:val="F3AD7258"/>
    <w:rsid w:val="F77D8208"/>
    <w:rsid w:val="F7EF82CD"/>
    <w:rsid w:val="F7FE953A"/>
    <w:rsid w:val="FA5A981F"/>
    <w:rsid w:val="FA9B74B2"/>
    <w:rsid w:val="FADF6763"/>
    <w:rsid w:val="FB2FF58D"/>
    <w:rsid w:val="FBDF58A1"/>
    <w:rsid w:val="FBFF287F"/>
    <w:rsid w:val="FCE99190"/>
    <w:rsid w:val="FD5C1CF2"/>
    <w:rsid w:val="FD6E1884"/>
    <w:rsid w:val="FDFFF22A"/>
    <w:rsid w:val="FEFF05F4"/>
    <w:rsid w:val="FF3D951E"/>
    <w:rsid w:val="FFCFA86B"/>
    <w:rsid w:val="FFEF2AED"/>
    <w:rsid w:val="FFFDA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99"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line="560" w:lineRule="exact"/>
      <w:jc w:val="center"/>
      <w:outlineLvl w:val="0"/>
    </w:pPr>
    <w:rPr>
      <w:rFonts w:ascii="方正小标宋简体" w:hAnsi="仿宋" w:eastAsia="方正小标宋简体"/>
      <w:kern w:val="44"/>
      <w:sz w:val="44"/>
      <w:szCs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index 8"/>
    <w:basedOn w:val="1"/>
    <w:next w:val="1"/>
    <w:qFormat/>
    <w:uiPriority w:val="0"/>
    <w:pPr>
      <w:ind w:left="2940"/>
    </w:pPr>
  </w:style>
  <w:style w:type="paragraph" w:styleId="4">
    <w:name w:val="Normal Indent"/>
    <w:basedOn w:val="1"/>
    <w:next w:val="5"/>
    <w:qFormat/>
    <w:uiPriority w:val="0"/>
    <w:pPr>
      <w:spacing w:line="240" w:lineRule="auto"/>
      <w:ind w:firstLine="420" w:firstLineChars="200"/>
    </w:pPr>
    <w:rPr>
      <w:szCs w:val="24"/>
    </w:rPr>
  </w:style>
  <w:style w:type="paragraph" w:styleId="5">
    <w:name w:val="Body Text"/>
    <w:basedOn w:val="1"/>
    <w:next w:val="6"/>
    <w:qFormat/>
    <w:uiPriority w:val="0"/>
    <w:pPr>
      <w:spacing w:after="120"/>
    </w:pPr>
  </w:style>
  <w:style w:type="paragraph" w:styleId="6">
    <w:name w:val="Title"/>
    <w:basedOn w:val="1"/>
    <w:next w:val="1"/>
    <w:qFormat/>
    <w:uiPriority w:val="0"/>
    <w:pPr>
      <w:spacing w:before="240" w:after="60"/>
      <w:jc w:val="center"/>
      <w:outlineLvl w:val="0"/>
    </w:pPr>
    <w:rPr>
      <w:rFonts w:ascii="等线 Light" w:hAnsi="等线 Light" w:eastAsia="宋体" w:cs="Times New Roman"/>
      <w:b/>
      <w:bCs/>
      <w:sz w:val="32"/>
      <w:szCs w:val="32"/>
    </w:rPr>
  </w:style>
  <w:style w:type="paragraph" w:styleId="7">
    <w:name w:val="Plain Text"/>
    <w:basedOn w:val="1"/>
    <w:next w:val="3"/>
    <w:unhideWhenUsed/>
    <w:qFormat/>
    <w:uiPriority w:val="99"/>
    <w:rPr>
      <w:rFonts w:ascii="宋体" w:hAnsi="Courier New" w:cs="Courier New"/>
      <w:szCs w:val="21"/>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Subtitle"/>
    <w:basedOn w:val="1"/>
    <w:next w:val="1"/>
    <w:qFormat/>
    <w:uiPriority w:val="99"/>
    <w:pPr>
      <w:spacing w:before="240" w:after="60" w:line="312" w:lineRule="auto"/>
      <w:jc w:val="center"/>
      <w:outlineLvl w:val="1"/>
    </w:pPr>
    <w:rPr>
      <w:rFonts w:ascii="Cambria" w:hAnsi="Cambria" w:cs="Times New Roman"/>
      <w:b/>
      <w:bCs/>
      <w:kern w:val="28"/>
      <w:sz w:val="32"/>
      <w:szCs w:val="32"/>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page number"/>
    <w:qFormat/>
    <w:uiPriority w:val="0"/>
  </w:style>
  <w:style w:type="paragraph" w:customStyle="1" w:styleId="14">
    <w:name w:val="BodyText"/>
    <w:qFormat/>
    <w:uiPriority w:val="0"/>
    <w:pPr>
      <w:widowControl w:val="0"/>
      <w:spacing w:after="120"/>
      <w:jc w:val="both"/>
    </w:pPr>
    <w:rPr>
      <w:rFonts w:ascii="Calibri" w:hAnsi="Calibri" w:eastAsia="宋体" w:cs="Times New Roman"/>
      <w:kern w:val="2"/>
      <w:sz w:val="21"/>
      <w:szCs w:val="24"/>
      <w:lang w:val="en-US" w:eastAsia="zh-CN" w:bidi="ar-SA"/>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6">
    <w:name w:val="首行缩进"/>
    <w:qFormat/>
    <w:uiPriority w:val="0"/>
    <w:pPr>
      <w:widowControl w:val="0"/>
      <w:spacing w:line="360" w:lineRule="auto"/>
      <w:ind w:firstLine="480" w:firstLineChars="200"/>
    </w:pPr>
    <w:rPr>
      <w:rFonts w:ascii="宋体" w:hAnsi="宋体" w:eastAsia="仿宋_GB2312" w:cs="Times New Roman"/>
      <w:kern w:val="2"/>
      <w:sz w:val="24"/>
      <w:szCs w:val="24"/>
      <w:lang w:val="en-US" w:eastAsia="zh-CN" w:bidi="ar-SA"/>
    </w:rPr>
  </w:style>
  <w:style w:type="paragraph" w:customStyle="1" w:styleId="17">
    <w:name w:val="样式 首行缩进:  2 字符"/>
    <w:basedOn w:val="1"/>
    <w:qFormat/>
    <w:uiPriority w:val="0"/>
    <w:pPr>
      <w:widowControl/>
      <w:spacing w:line="360" w:lineRule="auto"/>
      <w:ind w:firstLine="480" w:firstLineChars="200"/>
    </w:pPr>
    <w:rPr>
      <w:rFonts w:ascii="Arial" w:hAnsi="Arial" w:cs="宋体"/>
      <w:sz w:val="28"/>
      <w:szCs w:val="28"/>
    </w:rPr>
  </w:style>
  <w:style w:type="paragraph" w:customStyle="1" w:styleId="18">
    <w:name w:val="文件正文"/>
    <w:basedOn w:val="9"/>
    <w:qFormat/>
    <w:uiPriority w:val="0"/>
    <w:pPr>
      <w:widowControl w:val="0"/>
      <w:spacing w:before="0" w:after="0" w:line="560" w:lineRule="exact"/>
      <w:ind w:firstLine="622" w:firstLineChars="200"/>
      <w:jc w:val="both"/>
      <w:outlineLvl w:val="9"/>
    </w:pPr>
    <w:rPr>
      <w:rFonts w:ascii="仿宋_GB2312" w:hAnsi="仿宋_GB2312" w:eastAsia="仿宋_GB2312" w:cs="仿宋_GB2312"/>
      <w:b w:val="0"/>
      <w:bCs w:val="0"/>
      <w:kern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2024-01-05T23:57:00Z</dcterms:created>
  <dc:creator>chengyuanyuan</dc:creator>
  <cp:lastModifiedBy>简</cp:lastModifiedBy>
  <dcterms:modified xsi:type="dcterms:W3CDTF">2025-01-23T14:24:25Z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5262E4E5A52C7B5793B49167820BBADE</vt:lpwstr>
  </property>
</Properties>
</file>