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ind w:left="-8" w:leftChars="-85" w:right="-155" w:rightChars="-74" w:hanging="170" w:hangingChars="40"/>
        <w:jc w:val="center"/>
        <w:rPr>
          <w:rFonts w:hint="eastAsia" w:ascii="华光简小标宋" w:hAnsi="宋体" w:eastAsia="华光简小标宋"/>
          <w:spacing w:val="25"/>
          <w:w w:val="97"/>
          <w:kern w:val="0"/>
          <w:sz w:val="44"/>
          <w:szCs w:val="44"/>
        </w:rPr>
      </w:pPr>
      <w:r>
        <w:rPr>
          <w:rFonts w:hint="eastAsia" w:ascii="华光简小标宋" w:hAnsi="宋体" w:eastAsia="华光简小标宋"/>
          <w:w w:val="97"/>
          <w:kern w:val="0"/>
          <w:sz w:val="44"/>
          <w:szCs w:val="44"/>
          <w:lang w:val="en-US" w:eastAsia="zh-CN"/>
        </w:rPr>
        <w:t>深圳市</w:t>
      </w:r>
      <w:bookmarkStart w:id="0" w:name="_GoBack"/>
      <w:bookmarkEnd w:id="0"/>
      <w:r>
        <w:rPr>
          <w:rFonts w:hint="eastAsia" w:ascii="华光简小标宋" w:hAnsi="宋体" w:eastAsia="华光简小标宋"/>
          <w:w w:val="97"/>
          <w:kern w:val="0"/>
          <w:sz w:val="44"/>
          <w:szCs w:val="44"/>
        </w:rPr>
        <w:t>龙华区义务教育阶段学校积分入学一览</w:t>
      </w:r>
      <w:r>
        <w:rPr>
          <w:rFonts w:hint="eastAsia" w:ascii="华光简小标宋" w:hAnsi="宋体" w:eastAsia="华光简小标宋"/>
          <w:spacing w:val="25"/>
          <w:w w:val="97"/>
          <w:kern w:val="0"/>
          <w:sz w:val="44"/>
          <w:szCs w:val="44"/>
        </w:rPr>
        <w:t>表（非大学区）</w:t>
      </w:r>
    </w:p>
    <w:p>
      <w:pPr>
        <w:spacing w:line="600" w:lineRule="exact"/>
        <w:ind w:right="-155" w:rightChars="-74"/>
        <w:jc w:val="both"/>
        <w:rPr>
          <w:rFonts w:hint="eastAsia" w:ascii="华光简小标宋" w:hAnsi="宋体" w:eastAsia="华光简小标宋"/>
          <w:spacing w:val="25"/>
          <w:w w:val="97"/>
          <w:kern w:val="0"/>
          <w:sz w:val="44"/>
          <w:szCs w:val="44"/>
        </w:rPr>
      </w:pPr>
    </w:p>
    <w:tbl>
      <w:tblPr>
        <w:tblStyle w:val="4"/>
        <w:tblW w:w="0" w:type="auto"/>
        <w:tblInd w:w="-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27"/>
        <w:gridCol w:w="1245"/>
        <w:gridCol w:w="1920"/>
        <w:gridCol w:w="990"/>
        <w:gridCol w:w="3435"/>
        <w:gridCol w:w="52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trPr>
        <w:tc>
          <w:tcPr>
            <w:tcW w:w="1327" w:type="dxa"/>
            <w:vMerge w:val="restart"/>
            <w:noWrap w:val="0"/>
            <w:tcMar>
              <w:right w:w="170" w:type="dxa"/>
            </w:tcMar>
            <w:vAlign w:val="center"/>
          </w:tcPr>
          <w:p>
            <w:pPr>
              <w:ind w:right="-155" w:rightChars="-74"/>
              <w:jc w:val="center"/>
              <w:rPr>
                <w:rFonts w:hint="eastAsia" w:ascii="黑体" w:hAnsi="黑体" w:eastAsia="黑体"/>
                <w:sz w:val="24"/>
              </w:rPr>
            </w:pPr>
            <w:r>
              <w:rPr>
                <w:rFonts w:hint="eastAsia" w:ascii="黑体" w:hAnsi="黑体" w:eastAsia="黑体"/>
                <w:sz w:val="24"/>
              </w:rPr>
              <w:t>学位类型</w:t>
            </w:r>
          </w:p>
        </w:tc>
        <w:tc>
          <w:tcPr>
            <w:tcW w:w="1245" w:type="dxa"/>
            <w:vMerge w:val="restart"/>
            <w:noWrap w:val="0"/>
            <w:tcMar>
              <w:right w:w="170" w:type="dxa"/>
            </w:tcMar>
            <w:vAlign w:val="center"/>
          </w:tcPr>
          <w:p>
            <w:pPr>
              <w:ind w:right="-155" w:rightChars="-74"/>
              <w:jc w:val="center"/>
              <w:rPr>
                <w:rFonts w:hint="eastAsia" w:ascii="黑体" w:hAnsi="黑体" w:eastAsia="黑体"/>
                <w:sz w:val="24"/>
              </w:rPr>
            </w:pPr>
            <w:r>
              <w:rPr>
                <w:rFonts w:hint="eastAsia" w:ascii="黑体" w:hAnsi="黑体" w:eastAsia="黑体"/>
                <w:sz w:val="24"/>
              </w:rPr>
              <w:t>户籍类型</w:t>
            </w:r>
          </w:p>
        </w:tc>
        <w:tc>
          <w:tcPr>
            <w:tcW w:w="1920" w:type="dxa"/>
            <w:vMerge w:val="restart"/>
            <w:noWrap w:val="0"/>
            <w:tcMar>
              <w:right w:w="170" w:type="dxa"/>
            </w:tcMar>
            <w:vAlign w:val="center"/>
          </w:tcPr>
          <w:p>
            <w:pPr>
              <w:ind w:right="-155" w:rightChars="-74"/>
              <w:jc w:val="center"/>
              <w:rPr>
                <w:rFonts w:hint="eastAsia" w:ascii="黑体" w:hAnsi="黑体" w:eastAsia="黑体"/>
                <w:sz w:val="24"/>
              </w:rPr>
            </w:pPr>
            <w:r>
              <w:rPr>
                <w:rFonts w:hint="eastAsia" w:ascii="黑体" w:hAnsi="黑体" w:eastAsia="黑体"/>
                <w:sz w:val="24"/>
              </w:rPr>
              <w:t>住房类型</w:t>
            </w:r>
          </w:p>
        </w:tc>
        <w:tc>
          <w:tcPr>
            <w:tcW w:w="990" w:type="dxa"/>
            <w:vMerge w:val="restart"/>
            <w:noWrap w:val="0"/>
            <w:tcMar>
              <w:right w:w="170" w:type="dxa"/>
            </w:tcMar>
            <w:vAlign w:val="center"/>
          </w:tcPr>
          <w:p>
            <w:pPr>
              <w:ind w:right="-155" w:rightChars="-74"/>
              <w:jc w:val="center"/>
              <w:rPr>
                <w:rFonts w:hint="eastAsia" w:ascii="黑体" w:hAnsi="黑体" w:eastAsia="黑体"/>
                <w:sz w:val="24"/>
              </w:rPr>
            </w:pPr>
            <w:r>
              <w:rPr>
                <w:rFonts w:hint="eastAsia" w:ascii="黑体" w:hAnsi="黑体" w:eastAsia="黑体"/>
                <w:sz w:val="24"/>
              </w:rPr>
              <w:t>基础分</w:t>
            </w:r>
          </w:p>
        </w:tc>
        <w:tc>
          <w:tcPr>
            <w:tcW w:w="8692" w:type="dxa"/>
            <w:gridSpan w:val="2"/>
            <w:noWrap w:val="0"/>
            <w:tcMar>
              <w:right w:w="170" w:type="dxa"/>
            </w:tcMar>
            <w:vAlign w:val="center"/>
          </w:tcPr>
          <w:p>
            <w:pPr>
              <w:spacing w:line="600" w:lineRule="exact"/>
              <w:ind w:right="-155" w:rightChars="-74"/>
              <w:jc w:val="center"/>
              <w:rPr>
                <w:rFonts w:hint="eastAsia" w:ascii="黑体" w:hAnsi="黑体" w:eastAsia="黑体"/>
                <w:sz w:val="24"/>
              </w:rPr>
            </w:pPr>
            <w:r>
              <w:rPr>
                <w:rFonts w:hint="eastAsia" w:ascii="黑体" w:hAnsi="黑体" w:eastAsia="黑体"/>
                <w:sz w:val="24"/>
              </w:rPr>
              <w:t>加分项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27" w:type="dxa"/>
            <w:vMerge w:val="continue"/>
            <w:noWrap w:val="0"/>
            <w:tcMar>
              <w:right w:w="170" w:type="dxa"/>
            </w:tcMar>
            <w:vAlign w:val="center"/>
          </w:tcPr>
          <w:p>
            <w:pPr>
              <w:ind w:right="-155" w:rightChars="-74"/>
              <w:jc w:val="center"/>
              <w:rPr>
                <w:rFonts w:hint="eastAsia" w:ascii="黑体" w:hAnsi="黑体" w:eastAsia="黑体"/>
                <w:sz w:val="24"/>
              </w:rPr>
            </w:pPr>
          </w:p>
        </w:tc>
        <w:tc>
          <w:tcPr>
            <w:tcW w:w="1245" w:type="dxa"/>
            <w:vMerge w:val="continue"/>
            <w:noWrap w:val="0"/>
            <w:tcMar>
              <w:right w:w="170" w:type="dxa"/>
            </w:tcMar>
            <w:vAlign w:val="center"/>
          </w:tcPr>
          <w:p>
            <w:pPr>
              <w:ind w:right="-155" w:rightChars="-74"/>
              <w:jc w:val="center"/>
              <w:rPr>
                <w:rFonts w:hint="eastAsia" w:ascii="黑体" w:hAnsi="黑体" w:eastAsia="黑体"/>
                <w:sz w:val="24"/>
              </w:rPr>
            </w:pPr>
          </w:p>
        </w:tc>
        <w:tc>
          <w:tcPr>
            <w:tcW w:w="1920" w:type="dxa"/>
            <w:vMerge w:val="continue"/>
            <w:noWrap w:val="0"/>
            <w:tcMar>
              <w:right w:w="170" w:type="dxa"/>
            </w:tcMar>
            <w:vAlign w:val="center"/>
          </w:tcPr>
          <w:p>
            <w:pPr>
              <w:ind w:right="-155" w:rightChars="-74"/>
              <w:jc w:val="center"/>
              <w:rPr>
                <w:rFonts w:hint="eastAsia" w:ascii="黑体" w:hAnsi="黑体" w:eastAsia="黑体"/>
                <w:sz w:val="24"/>
              </w:rPr>
            </w:pPr>
          </w:p>
        </w:tc>
        <w:tc>
          <w:tcPr>
            <w:tcW w:w="990" w:type="dxa"/>
            <w:vMerge w:val="continue"/>
            <w:noWrap w:val="0"/>
            <w:tcMar>
              <w:right w:w="170" w:type="dxa"/>
            </w:tcMar>
            <w:vAlign w:val="center"/>
          </w:tcPr>
          <w:p>
            <w:pPr>
              <w:ind w:right="-155" w:rightChars="-74"/>
              <w:jc w:val="center"/>
              <w:rPr>
                <w:rFonts w:hint="eastAsia" w:ascii="黑体" w:hAnsi="黑体" w:eastAsia="黑体"/>
                <w:sz w:val="24"/>
              </w:rPr>
            </w:pPr>
          </w:p>
        </w:tc>
        <w:tc>
          <w:tcPr>
            <w:tcW w:w="3435" w:type="dxa"/>
            <w:noWrap w:val="0"/>
            <w:tcMar>
              <w:right w:w="170" w:type="dxa"/>
            </w:tcMar>
            <w:vAlign w:val="center"/>
          </w:tcPr>
          <w:p>
            <w:pPr>
              <w:spacing w:line="600" w:lineRule="exact"/>
              <w:ind w:right="-155" w:rightChars="-74"/>
              <w:jc w:val="center"/>
              <w:rPr>
                <w:rFonts w:hint="eastAsia" w:ascii="黑体" w:hAnsi="黑体" w:eastAsia="黑体"/>
                <w:sz w:val="24"/>
              </w:rPr>
            </w:pPr>
            <w:r>
              <w:rPr>
                <w:rFonts w:hint="eastAsia" w:ascii="黑体" w:hAnsi="黑体" w:eastAsia="黑体"/>
                <w:sz w:val="24"/>
              </w:rPr>
              <w:t>深户住房/非深户社保</w:t>
            </w:r>
          </w:p>
        </w:tc>
        <w:tc>
          <w:tcPr>
            <w:tcW w:w="5257" w:type="dxa"/>
            <w:noWrap w:val="0"/>
            <w:tcMar>
              <w:right w:w="170" w:type="dxa"/>
            </w:tcMar>
            <w:vAlign w:val="center"/>
          </w:tcPr>
          <w:p>
            <w:pPr>
              <w:spacing w:line="600" w:lineRule="exact"/>
              <w:ind w:right="-155" w:rightChars="-74"/>
              <w:jc w:val="center"/>
              <w:rPr>
                <w:rFonts w:hint="eastAsia" w:ascii="黑体" w:hAnsi="黑体" w:eastAsia="黑体"/>
                <w:sz w:val="24"/>
              </w:rPr>
            </w:pPr>
            <w:r>
              <w:rPr>
                <w:rFonts w:hint="eastAsia" w:ascii="黑体" w:hAnsi="黑体" w:eastAsia="黑体"/>
                <w:sz w:val="24"/>
              </w:rPr>
              <w:t>户籍情况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3" w:hRule="atLeast"/>
        </w:trPr>
        <w:tc>
          <w:tcPr>
            <w:tcW w:w="1327" w:type="dxa"/>
            <w:noWrap w:val="0"/>
            <w:tcMar>
              <w:right w:w="170" w:type="dxa"/>
            </w:tcMar>
            <w:vAlign w:val="center"/>
          </w:tcPr>
          <w:p>
            <w:pPr>
              <w:autoSpaceDE w:val="0"/>
              <w:autoSpaceDN w:val="0"/>
              <w:adjustRightInd w:val="0"/>
              <w:snapToGrid w:val="0"/>
              <w:jc w:val="center"/>
              <w:rPr>
                <w:rFonts w:hint="eastAsia" w:ascii="仿宋_GB2312" w:hAnsi="华文中宋" w:eastAsia="仿宋_GB2312" w:cs="仿宋_GB2312"/>
                <w:kern w:val="0"/>
                <w:szCs w:val="21"/>
              </w:rPr>
            </w:pPr>
            <w:r>
              <w:rPr>
                <w:rFonts w:hint="eastAsia" w:ascii="仿宋_GB2312" w:hAnsi="华文中宋" w:eastAsia="仿宋_GB2312" w:cs="仿宋_GB2312"/>
                <w:kern w:val="0"/>
                <w:szCs w:val="21"/>
              </w:rPr>
              <w:t>第一类</w:t>
            </w:r>
          </w:p>
        </w:tc>
        <w:tc>
          <w:tcPr>
            <w:tcW w:w="1245" w:type="dxa"/>
            <w:noWrap w:val="0"/>
            <w:tcMar>
              <w:right w:w="170" w:type="dxa"/>
            </w:tcMar>
            <w:vAlign w:val="center"/>
          </w:tcPr>
          <w:p>
            <w:pPr>
              <w:autoSpaceDE w:val="0"/>
              <w:autoSpaceDN w:val="0"/>
              <w:adjustRightInd w:val="0"/>
              <w:snapToGrid w:val="0"/>
              <w:jc w:val="center"/>
              <w:rPr>
                <w:rFonts w:hint="eastAsia" w:ascii="仿宋_GB2312" w:hAnsi="华文中宋" w:eastAsia="仿宋_GB2312" w:cs="仿宋_GB2312"/>
                <w:kern w:val="0"/>
                <w:szCs w:val="21"/>
              </w:rPr>
            </w:pPr>
            <w:r>
              <w:rPr>
                <w:rFonts w:hint="eastAsia" w:ascii="仿宋_GB2312" w:hAnsi="华文中宋" w:eastAsia="仿宋_GB2312" w:cs="仿宋_GB2312"/>
                <w:kern w:val="0"/>
                <w:szCs w:val="21"/>
              </w:rPr>
              <w:t>龙华区</w:t>
            </w:r>
          </w:p>
          <w:p>
            <w:pPr>
              <w:autoSpaceDE w:val="0"/>
              <w:autoSpaceDN w:val="0"/>
              <w:adjustRightInd w:val="0"/>
              <w:snapToGrid w:val="0"/>
              <w:jc w:val="center"/>
              <w:rPr>
                <w:rFonts w:hint="eastAsia" w:ascii="仿宋_GB2312" w:hAnsi="华文中宋" w:eastAsia="仿宋_GB2312" w:cs="仿宋_GB2312"/>
                <w:kern w:val="0"/>
                <w:szCs w:val="21"/>
              </w:rPr>
            </w:pPr>
            <w:r>
              <w:rPr>
                <w:rFonts w:hint="eastAsia" w:ascii="仿宋_GB2312" w:hAnsi="华文中宋" w:eastAsia="仿宋_GB2312" w:cs="仿宋_GB2312"/>
                <w:kern w:val="0"/>
                <w:szCs w:val="21"/>
              </w:rPr>
              <w:t>户籍</w:t>
            </w:r>
          </w:p>
        </w:tc>
        <w:tc>
          <w:tcPr>
            <w:tcW w:w="1920" w:type="dxa"/>
            <w:noWrap w:val="0"/>
            <w:tcMar>
              <w:right w:w="170" w:type="dxa"/>
            </w:tcMar>
            <w:vAlign w:val="center"/>
          </w:tcPr>
          <w:p>
            <w:pPr>
              <w:ind w:right="-155" w:rightChars="-74"/>
              <w:jc w:val="center"/>
              <w:rPr>
                <w:rFonts w:hint="eastAsia" w:ascii="宋体" w:hAnsi="宋体"/>
                <w:szCs w:val="21"/>
              </w:rPr>
            </w:pPr>
            <w:r>
              <w:rPr>
                <w:rFonts w:hint="eastAsia" w:ascii="仿宋_GB2312" w:hAnsi="华文中宋" w:eastAsia="仿宋_GB2312" w:cs="仿宋_GB2312"/>
                <w:kern w:val="0"/>
                <w:szCs w:val="21"/>
              </w:rPr>
              <w:t>学区内商品房或</w:t>
            </w:r>
            <w:r>
              <w:rPr>
                <w:rFonts w:hint="eastAsia" w:ascii="仿宋_GB2312" w:hAnsi="华文中宋" w:eastAsia="仿宋_GB2312" w:cs="仿宋_GB2312"/>
                <w:kern w:val="0"/>
                <w:szCs w:val="21"/>
                <w:lang w:eastAsia="zh-CN"/>
              </w:rPr>
              <w:t>原住居民住房</w:t>
            </w:r>
            <w:r>
              <w:rPr>
                <w:rFonts w:hint="eastAsia" w:ascii="仿宋_GB2312" w:hAnsi="华文中宋" w:eastAsia="仿宋_GB2312" w:cs="仿宋_GB2312"/>
                <w:kern w:val="0"/>
                <w:szCs w:val="21"/>
              </w:rPr>
              <w:t>或安居商品房</w:t>
            </w:r>
          </w:p>
        </w:tc>
        <w:tc>
          <w:tcPr>
            <w:tcW w:w="990" w:type="dxa"/>
            <w:vMerge w:val="restart"/>
            <w:noWrap w:val="0"/>
            <w:tcMar>
              <w:right w:w="170" w:type="dxa"/>
            </w:tcMar>
            <w:vAlign w:val="center"/>
          </w:tcPr>
          <w:p>
            <w:pPr>
              <w:ind w:right="-155" w:rightChars="-74"/>
              <w:jc w:val="center"/>
              <w:rPr>
                <w:rFonts w:hint="eastAsia" w:ascii="仿宋_GB2312" w:hAnsi="华文中宋" w:eastAsia="仿宋_GB2312" w:cs="仿宋_GB2312"/>
                <w:kern w:val="0"/>
                <w:szCs w:val="21"/>
              </w:rPr>
            </w:pPr>
            <w:r>
              <w:rPr>
                <w:rFonts w:hint="eastAsia" w:ascii="仿宋_GB2312" w:hAnsi="华文中宋" w:eastAsia="仿宋_GB2312" w:cs="仿宋_GB2312"/>
                <w:kern w:val="0"/>
                <w:szCs w:val="21"/>
              </w:rPr>
              <w:t>60</w:t>
            </w:r>
          </w:p>
        </w:tc>
        <w:tc>
          <w:tcPr>
            <w:tcW w:w="3435" w:type="dxa"/>
            <w:vMerge w:val="restart"/>
            <w:noWrap w:val="0"/>
            <w:tcMar>
              <w:right w:w="170" w:type="dxa"/>
            </w:tcMar>
            <w:vAlign w:val="top"/>
          </w:tcPr>
          <w:p>
            <w:pPr>
              <w:ind w:right="-155" w:rightChars="-74"/>
              <w:jc w:val="left"/>
              <w:rPr>
                <w:rFonts w:hint="eastAsia" w:ascii="宋体" w:hAnsi="宋体"/>
                <w:color w:val="auto"/>
                <w:szCs w:val="21"/>
              </w:rPr>
            </w:pPr>
            <w:r>
              <w:rPr>
                <w:rFonts w:hint="eastAsia" w:ascii="仿宋_GB2312" w:hAnsi="华文中宋" w:eastAsia="仿宋_GB2312" w:cs="仿宋_GB2312"/>
                <w:color w:val="auto"/>
                <w:kern w:val="0"/>
                <w:szCs w:val="21"/>
              </w:rPr>
              <w:t>父母、祖父母、外祖父母或法定监护人在申请学校学区内</w:t>
            </w:r>
            <w:r>
              <w:rPr>
                <w:rFonts w:hint="eastAsia" w:ascii="仿宋_GB2312" w:hAnsi="华文中宋" w:eastAsia="仿宋_GB2312" w:cs="仿宋_GB2312"/>
                <w:color w:val="auto"/>
                <w:kern w:val="0"/>
                <w:szCs w:val="21"/>
                <w:lang w:eastAsia="zh-CN"/>
              </w:rPr>
              <w:t>自购</w:t>
            </w:r>
            <w:r>
              <w:rPr>
                <w:rFonts w:hint="eastAsia" w:ascii="仿宋_GB2312" w:hAnsi="华文中宋" w:eastAsia="仿宋_GB2312" w:cs="仿宋_GB2312"/>
                <w:color w:val="auto"/>
                <w:kern w:val="0"/>
                <w:szCs w:val="21"/>
              </w:rPr>
              <w:t>商品房或安居商品房（要求为住宅用途商品房，</w:t>
            </w:r>
            <w:r>
              <w:rPr>
                <w:rFonts w:hint="eastAsia" w:ascii="仿宋_GB2312" w:hAnsi="华文中宋" w:eastAsia="仿宋_GB2312" w:cs="仿宋_GB2312"/>
                <w:color w:val="auto"/>
                <w:kern w:val="0"/>
                <w:szCs w:val="21"/>
                <w:lang w:eastAsia="zh-CN"/>
              </w:rPr>
              <w:t>且</w:t>
            </w:r>
            <w:r>
              <w:rPr>
                <w:rFonts w:hint="eastAsia" w:ascii="仿宋_GB2312" w:hAnsi="华文中宋" w:eastAsia="仿宋_GB2312" w:cs="仿宋_GB2312"/>
                <w:color w:val="auto"/>
                <w:kern w:val="0"/>
                <w:szCs w:val="21"/>
              </w:rPr>
              <w:t>产权份额</w:t>
            </w:r>
            <w:r>
              <w:rPr>
                <w:rFonts w:hint="eastAsia" w:ascii="仿宋_GB2312" w:hAnsi="华文中宋" w:eastAsia="仿宋_GB2312" w:cs="仿宋_GB2312"/>
                <w:color w:val="auto"/>
                <w:kern w:val="0"/>
                <w:szCs w:val="21"/>
                <w:lang w:eastAsia="zh-CN"/>
              </w:rPr>
              <w:t>在</w:t>
            </w:r>
            <w:r>
              <w:rPr>
                <w:rFonts w:hint="eastAsia" w:ascii="仿宋_GB2312" w:hAnsi="华文中宋" w:eastAsia="仿宋_GB2312" w:cs="仿宋_GB2312"/>
                <w:color w:val="auto"/>
                <w:kern w:val="0"/>
                <w:szCs w:val="21"/>
              </w:rPr>
              <w:t>51%以上），按</w:t>
            </w:r>
            <w:r>
              <w:rPr>
                <w:rFonts w:hint="eastAsia" w:ascii="仿宋_GB2312" w:hAnsi="华文中宋" w:eastAsia="仿宋_GB2312" w:cs="仿宋_GB2312"/>
                <w:color w:val="auto"/>
                <w:kern w:val="0"/>
                <w:szCs w:val="21"/>
                <w:lang w:eastAsia="zh-CN"/>
              </w:rPr>
              <w:t>取得商品房</w:t>
            </w:r>
            <w:r>
              <w:rPr>
                <w:rFonts w:hint="eastAsia" w:ascii="仿宋_GB2312" w:hAnsi="华文中宋" w:eastAsia="仿宋_GB2312" w:cs="仿宋_GB2312"/>
                <w:color w:val="auto"/>
                <w:kern w:val="0"/>
                <w:szCs w:val="21"/>
              </w:rPr>
              <w:t>房产证</w:t>
            </w:r>
            <w:r>
              <w:rPr>
                <w:rFonts w:hint="eastAsia" w:ascii="仿宋_GB2312" w:hAnsi="华文中宋" w:eastAsia="仿宋_GB2312" w:cs="仿宋_GB2312"/>
                <w:color w:val="auto"/>
                <w:kern w:val="0"/>
                <w:szCs w:val="21"/>
                <w:lang w:eastAsia="zh-CN"/>
              </w:rPr>
              <w:t>（或商品房不动产权证）</w:t>
            </w:r>
            <w:r>
              <w:rPr>
                <w:rFonts w:hint="eastAsia" w:ascii="仿宋_GB2312" w:hAnsi="华文中宋" w:eastAsia="仿宋_GB2312" w:cs="仿宋_GB2312"/>
                <w:color w:val="auto"/>
                <w:kern w:val="0"/>
                <w:szCs w:val="21"/>
              </w:rPr>
              <w:t>上购买日期每满1个月加0.1分。</w:t>
            </w:r>
          </w:p>
        </w:tc>
        <w:tc>
          <w:tcPr>
            <w:tcW w:w="5257" w:type="dxa"/>
            <w:vMerge w:val="restart"/>
            <w:noWrap w:val="0"/>
            <w:tcMar>
              <w:right w:w="170" w:type="dxa"/>
            </w:tcMar>
            <w:vAlign w:val="center"/>
          </w:tcPr>
          <w:p>
            <w:pPr>
              <w:ind w:right="-155" w:rightChars="-74"/>
              <w:rPr>
                <w:rFonts w:hint="eastAsia" w:ascii="宋体" w:hAnsi="宋体"/>
                <w:szCs w:val="21"/>
              </w:rPr>
            </w:pPr>
            <w:r>
              <w:rPr>
                <w:rFonts w:hint="eastAsia" w:ascii="仿宋_GB2312" w:hAnsi="华文中宋" w:eastAsia="仿宋_GB2312" w:cs="仿宋_GB2312"/>
                <w:kern w:val="0"/>
                <w:szCs w:val="21"/>
              </w:rPr>
              <w:t>申请入学</w:t>
            </w:r>
            <w:r>
              <w:rPr>
                <w:rFonts w:hint="eastAsia" w:ascii="仿宋_GB2312" w:hAnsi="华文中宋" w:eastAsia="仿宋_GB2312" w:cs="仿宋_GB2312"/>
                <w:color w:val="000000"/>
                <w:kern w:val="0"/>
                <w:szCs w:val="21"/>
              </w:rPr>
              <w:t>适龄儿童、少年的父母(或法定监护人）户籍迁入深圳时间最长的一方计算积分，每满一个月加0.1分。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27" w:type="dxa"/>
            <w:noWrap w:val="0"/>
            <w:tcMar>
              <w:right w:w="170" w:type="dxa"/>
            </w:tcMar>
            <w:vAlign w:val="center"/>
          </w:tcPr>
          <w:p>
            <w:pPr>
              <w:autoSpaceDE w:val="0"/>
              <w:autoSpaceDN w:val="0"/>
              <w:adjustRightInd w:val="0"/>
              <w:snapToGrid w:val="0"/>
              <w:jc w:val="center"/>
              <w:rPr>
                <w:rFonts w:hint="eastAsia" w:ascii="仿宋_GB2312" w:hAnsi="华文中宋" w:eastAsia="仿宋_GB2312" w:cs="仿宋_GB2312"/>
                <w:kern w:val="0"/>
                <w:szCs w:val="21"/>
              </w:rPr>
            </w:pPr>
            <w:r>
              <w:rPr>
                <w:rFonts w:hint="eastAsia" w:ascii="仿宋_GB2312" w:hAnsi="华文中宋" w:eastAsia="仿宋_GB2312" w:cs="仿宋_GB2312"/>
                <w:kern w:val="0"/>
                <w:szCs w:val="21"/>
              </w:rPr>
              <w:t>第二类</w:t>
            </w:r>
          </w:p>
        </w:tc>
        <w:tc>
          <w:tcPr>
            <w:tcW w:w="1245" w:type="dxa"/>
            <w:noWrap w:val="0"/>
            <w:tcMar>
              <w:right w:w="170" w:type="dxa"/>
            </w:tcMar>
            <w:vAlign w:val="center"/>
          </w:tcPr>
          <w:p>
            <w:pPr>
              <w:autoSpaceDE w:val="0"/>
              <w:autoSpaceDN w:val="0"/>
              <w:adjustRightInd w:val="0"/>
              <w:snapToGrid w:val="0"/>
              <w:jc w:val="center"/>
              <w:rPr>
                <w:rFonts w:hint="eastAsia" w:ascii="仿宋_GB2312" w:hAnsi="华文中宋" w:eastAsia="仿宋_GB2312" w:cs="仿宋_GB2312"/>
                <w:kern w:val="0"/>
                <w:szCs w:val="21"/>
              </w:rPr>
            </w:pPr>
            <w:r>
              <w:rPr>
                <w:rFonts w:hint="eastAsia" w:ascii="仿宋_GB2312" w:hAnsi="华文中宋" w:eastAsia="仿宋_GB2312" w:cs="仿宋_GB2312"/>
                <w:kern w:val="0"/>
                <w:szCs w:val="21"/>
              </w:rPr>
              <w:t>深圳其他区户籍</w:t>
            </w:r>
          </w:p>
        </w:tc>
        <w:tc>
          <w:tcPr>
            <w:tcW w:w="1920" w:type="dxa"/>
            <w:noWrap w:val="0"/>
            <w:tcMar>
              <w:right w:w="170" w:type="dxa"/>
            </w:tcMar>
            <w:vAlign w:val="center"/>
          </w:tcPr>
          <w:p>
            <w:pPr>
              <w:ind w:right="-155" w:rightChars="-74"/>
              <w:jc w:val="center"/>
              <w:rPr>
                <w:rFonts w:hint="eastAsia" w:ascii="宋体" w:hAnsi="宋体"/>
                <w:szCs w:val="21"/>
              </w:rPr>
            </w:pPr>
            <w:r>
              <w:rPr>
                <w:rFonts w:hint="eastAsia" w:ascii="仿宋_GB2312" w:hAnsi="华文中宋" w:eastAsia="仿宋_GB2312" w:cs="仿宋_GB2312"/>
                <w:kern w:val="0"/>
                <w:szCs w:val="21"/>
              </w:rPr>
              <w:t>学区内商品房或</w:t>
            </w:r>
            <w:r>
              <w:rPr>
                <w:rFonts w:hint="eastAsia" w:ascii="仿宋_GB2312" w:hAnsi="华文中宋" w:eastAsia="仿宋_GB2312" w:cs="仿宋_GB2312"/>
                <w:kern w:val="0"/>
                <w:szCs w:val="21"/>
                <w:lang w:eastAsia="zh-CN"/>
              </w:rPr>
              <w:t>原住居民住房</w:t>
            </w:r>
            <w:r>
              <w:rPr>
                <w:rFonts w:hint="eastAsia" w:ascii="仿宋_GB2312" w:hAnsi="华文中宋" w:eastAsia="仿宋_GB2312" w:cs="仿宋_GB2312"/>
                <w:kern w:val="0"/>
                <w:szCs w:val="21"/>
              </w:rPr>
              <w:t>或安居商品房</w:t>
            </w:r>
          </w:p>
        </w:tc>
        <w:tc>
          <w:tcPr>
            <w:tcW w:w="990" w:type="dxa"/>
            <w:vMerge w:val="continue"/>
            <w:noWrap w:val="0"/>
            <w:tcMar>
              <w:right w:w="170" w:type="dxa"/>
            </w:tcMar>
            <w:vAlign w:val="center"/>
          </w:tcPr>
          <w:p>
            <w:pPr>
              <w:ind w:right="-155" w:rightChars="-74"/>
              <w:jc w:val="center"/>
              <w:rPr>
                <w:rFonts w:hint="eastAsia" w:ascii="仿宋_GB2312" w:hAnsi="华文中宋" w:eastAsia="仿宋_GB2312" w:cs="仿宋_GB2312"/>
                <w:kern w:val="0"/>
                <w:szCs w:val="21"/>
              </w:rPr>
            </w:pPr>
          </w:p>
        </w:tc>
        <w:tc>
          <w:tcPr>
            <w:tcW w:w="3435" w:type="dxa"/>
            <w:vMerge w:val="continue"/>
            <w:noWrap w:val="0"/>
            <w:tcMar>
              <w:right w:w="170" w:type="dxa"/>
            </w:tcMar>
            <w:vAlign w:val="top"/>
          </w:tcPr>
          <w:p>
            <w:pPr>
              <w:spacing w:line="600" w:lineRule="exact"/>
              <w:ind w:right="-155" w:rightChars="-74"/>
              <w:jc w:val="center"/>
              <w:rPr>
                <w:rFonts w:hint="eastAsia" w:ascii="宋体" w:hAnsi="宋体"/>
                <w:color w:val="auto"/>
                <w:szCs w:val="21"/>
              </w:rPr>
            </w:pPr>
          </w:p>
        </w:tc>
        <w:tc>
          <w:tcPr>
            <w:tcW w:w="5257" w:type="dxa"/>
            <w:vMerge w:val="continue"/>
            <w:noWrap w:val="0"/>
            <w:tcMar>
              <w:right w:w="170" w:type="dxa"/>
            </w:tcMar>
            <w:vAlign w:val="top"/>
          </w:tcPr>
          <w:p>
            <w:pPr>
              <w:spacing w:line="600" w:lineRule="exact"/>
              <w:ind w:right="-155" w:rightChars="-74"/>
              <w:jc w:val="center"/>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1327" w:type="dxa"/>
            <w:noWrap w:val="0"/>
            <w:tcMar>
              <w:right w:w="170" w:type="dxa"/>
            </w:tcMar>
            <w:vAlign w:val="center"/>
          </w:tcPr>
          <w:p>
            <w:pPr>
              <w:autoSpaceDE w:val="0"/>
              <w:autoSpaceDN w:val="0"/>
              <w:adjustRightInd w:val="0"/>
              <w:snapToGrid w:val="0"/>
              <w:jc w:val="center"/>
              <w:rPr>
                <w:rFonts w:hint="eastAsia" w:ascii="仿宋_GB2312" w:hAnsi="华文中宋" w:eastAsia="仿宋_GB2312" w:cs="仿宋_GB2312"/>
                <w:kern w:val="0"/>
                <w:szCs w:val="21"/>
              </w:rPr>
            </w:pPr>
            <w:r>
              <w:rPr>
                <w:rFonts w:hint="eastAsia" w:ascii="仿宋_GB2312" w:hAnsi="华文中宋" w:eastAsia="仿宋_GB2312" w:cs="仿宋_GB2312"/>
                <w:kern w:val="0"/>
                <w:szCs w:val="21"/>
              </w:rPr>
              <w:t>第三类</w:t>
            </w:r>
          </w:p>
        </w:tc>
        <w:tc>
          <w:tcPr>
            <w:tcW w:w="1245" w:type="dxa"/>
            <w:noWrap w:val="0"/>
            <w:tcMar>
              <w:right w:w="170" w:type="dxa"/>
            </w:tcMar>
            <w:vAlign w:val="center"/>
          </w:tcPr>
          <w:p>
            <w:pPr>
              <w:autoSpaceDE w:val="0"/>
              <w:autoSpaceDN w:val="0"/>
              <w:adjustRightInd w:val="0"/>
              <w:snapToGrid w:val="0"/>
              <w:jc w:val="center"/>
              <w:rPr>
                <w:rFonts w:hint="eastAsia" w:ascii="仿宋_GB2312" w:hAnsi="华文中宋" w:eastAsia="仿宋_GB2312" w:cs="仿宋_GB2312"/>
                <w:kern w:val="0"/>
                <w:szCs w:val="21"/>
              </w:rPr>
            </w:pPr>
            <w:r>
              <w:rPr>
                <w:rFonts w:hint="eastAsia" w:ascii="仿宋_GB2312" w:hAnsi="华文中宋" w:eastAsia="仿宋_GB2312" w:cs="仿宋_GB2312"/>
                <w:kern w:val="0"/>
                <w:szCs w:val="21"/>
              </w:rPr>
              <w:t>龙华区</w:t>
            </w:r>
          </w:p>
          <w:p>
            <w:pPr>
              <w:autoSpaceDE w:val="0"/>
              <w:autoSpaceDN w:val="0"/>
              <w:adjustRightInd w:val="0"/>
              <w:snapToGrid w:val="0"/>
              <w:jc w:val="center"/>
              <w:rPr>
                <w:rFonts w:hint="eastAsia" w:ascii="仿宋_GB2312" w:hAnsi="华文中宋" w:eastAsia="仿宋_GB2312" w:cs="仿宋_GB2312"/>
                <w:kern w:val="0"/>
                <w:szCs w:val="21"/>
              </w:rPr>
            </w:pPr>
            <w:r>
              <w:rPr>
                <w:rFonts w:hint="eastAsia" w:ascii="仿宋_GB2312" w:hAnsi="华文中宋" w:eastAsia="仿宋_GB2312" w:cs="仿宋_GB2312"/>
                <w:kern w:val="0"/>
                <w:szCs w:val="21"/>
              </w:rPr>
              <w:t>户籍</w:t>
            </w:r>
          </w:p>
        </w:tc>
        <w:tc>
          <w:tcPr>
            <w:tcW w:w="1920" w:type="dxa"/>
            <w:noWrap w:val="0"/>
            <w:tcMar>
              <w:right w:w="170" w:type="dxa"/>
            </w:tcMar>
            <w:vAlign w:val="center"/>
          </w:tcPr>
          <w:p>
            <w:pPr>
              <w:ind w:right="-155" w:rightChars="-74"/>
              <w:jc w:val="center"/>
              <w:rPr>
                <w:rFonts w:hint="eastAsia" w:ascii="宋体" w:hAnsi="宋体"/>
                <w:szCs w:val="21"/>
              </w:rPr>
            </w:pPr>
            <w:r>
              <w:rPr>
                <w:rFonts w:hint="eastAsia" w:ascii="仿宋_GB2312" w:hAnsi="华文中宋" w:eastAsia="仿宋_GB2312" w:cs="仿宋_GB2312"/>
                <w:kern w:val="0"/>
                <w:szCs w:val="21"/>
              </w:rPr>
              <w:t>学区内租房或公共租赁房或其他类住房</w:t>
            </w:r>
          </w:p>
        </w:tc>
        <w:tc>
          <w:tcPr>
            <w:tcW w:w="990" w:type="dxa"/>
            <w:vMerge w:val="continue"/>
            <w:noWrap w:val="0"/>
            <w:tcMar>
              <w:right w:w="170" w:type="dxa"/>
            </w:tcMar>
            <w:vAlign w:val="center"/>
          </w:tcPr>
          <w:p>
            <w:pPr>
              <w:ind w:right="-155" w:rightChars="-74"/>
              <w:jc w:val="center"/>
              <w:rPr>
                <w:rFonts w:hint="eastAsia" w:ascii="仿宋_GB2312" w:hAnsi="华文中宋" w:eastAsia="仿宋_GB2312" w:cs="仿宋_GB2312"/>
                <w:kern w:val="0"/>
                <w:szCs w:val="21"/>
              </w:rPr>
            </w:pPr>
          </w:p>
        </w:tc>
        <w:tc>
          <w:tcPr>
            <w:tcW w:w="3435" w:type="dxa"/>
            <w:vMerge w:val="restart"/>
            <w:noWrap w:val="0"/>
            <w:tcMar>
              <w:right w:w="170" w:type="dxa"/>
            </w:tcMar>
            <w:vAlign w:val="top"/>
          </w:tcPr>
          <w:p>
            <w:pPr>
              <w:ind w:right="-155" w:rightChars="-74"/>
              <w:jc w:val="left"/>
              <w:rPr>
                <w:rFonts w:hint="eastAsia" w:ascii="宋体" w:hAnsi="宋体"/>
                <w:color w:val="auto"/>
                <w:szCs w:val="21"/>
              </w:rPr>
            </w:pPr>
            <w:r>
              <w:rPr>
                <w:rFonts w:hint="eastAsia" w:ascii="仿宋_GB2312" w:hAnsi="华文中宋" w:eastAsia="仿宋_GB2312" w:cs="仿宋_GB2312"/>
                <w:color w:val="auto"/>
                <w:kern w:val="0"/>
                <w:szCs w:val="21"/>
              </w:rPr>
              <w:t>父母、祖父母、外祖父母或法定监护人在申请学校学区内租房且能提供房屋租赁部门发放的《房屋租赁凭证》（或公共租赁房合同），按</w:t>
            </w:r>
            <w:r>
              <w:rPr>
                <w:rFonts w:hint="eastAsia" w:ascii="仿宋_GB2312" w:hAnsi="华文中宋" w:eastAsia="仿宋_GB2312" w:cs="仿宋_GB2312"/>
                <w:color w:val="auto"/>
                <w:kern w:val="0"/>
                <w:szCs w:val="21"/>
                <w:lang w:eastAsia="zh-CN"/>
              </w:rPr>
              <w:t>《房屋</w:t>
            </w:r>
            <w:r>
              <w:rPr>
                <w:rFonts w:hint="eastAsia" w:ascii="仿宋_GB2312" w:hAnsi="华文中宋" w:eastAsia="仿宋_GB2312" w:cs="仿宋_GB2312"/>
                <w:color w:val="auto"/>
                <w:kern w:val="0"/>
                <w:szCs w:val="21"/>
              </w:rPr>
              <w:t>租赁凭证</w:t>
            </w:r>
            <w:r>
              <w:rPr>
                <w:rFonts w:hint="eastAsia" w:ascii="仿宋_GB2312" w:hAnsi="华文中宋" w:eastAsia="仿宋_GB2312" w:cs="仿宋_GB2312"/>
                <w:color w:val="auto"/>
                <w:kern w:val="0"/>
                <w:szCs w:val="21"/>
                <w:lang w:eastAsia="zh-CN"/>
              </w:rPr>
              <w:t>》</w:t>
            </w:r>
            <w:r>
              <w:rPr>
                <w:rFonts w:hint="eastAsia" w:ascii="仿宋_GB2312" w:hAnsi="华文中宋" w:eastAsia="仿宋_GB2312" w:cs="仿宋_GB2312"/>
                <w:color w:val="auto"/>
                <w:kern w:val="0"/>
                <w:szCs w:val="21"/>
              </w:rPr>
              <w:t>（或公共租赁房合同）</w:t>
            </w:r>
            <w:r>
              <w:rPr>
                <w:rFonts w:hint="eastAsia" w:ascii="仿宋_GB2312" w:hAnsi="华文中宋" w:eastAsia="仿宋_GB2312" w:cs="仿宋_GB2312"/>
                <w:color w:val="auto"/>
                <w:kern w:val="0"/>
                <w:szCs w:val="21"/>
                <w:lang w:eastAsia="zh-CN"/>
              </w:rPr>
              <w:t>签发</w:t>
            </w:r>
            <w:r>
              <w:rPr>
                <w:rFonts w:hint="eastAsia" w:ascii="仿宋_GB2312" w:hAnsi="华文中宋" w:eastAsia="仿宋_GB2312" w:cs="仿宋_GB2312"/>
                <w:color w:val="auto"/>
                <w:kern w:val="0"/>
                <w:szCs w:val="21"/>
              </w:rPr>
              <w:t>日期每满1个月加0.1分。</w:t>
            </w:r>
            <w:r>
              <w:rPr>
                <w:rFonts w:hint="eastAsia" w:ascii="仿宋_GB2312" w:hAnsi="华文中宋" w:eastAsia="仿宋_GB2312" w:cs="仿宋_GB2312"/>
                <w:color w:val="auto"/>
                <w:kern w:val="0"/>
                <w:szCs w:val="21"/>
                <w:lang w:eastAsia="zh-CN"/>
              </w:rPr>
              <w:t>其他</w:t>
            </w:r>
            <w:r>
              <w:rPr>
                <w:rFonts w:hint="eastAsia" w:ascii="仿宋_GB2312" w:hAnsi="华文中宋" w:eastAsia="仿宋_GB2312" w:cs="仿宋_GB2312"/>
                <w:color w:val="auto"/>
                <w:kern w:val="0"/>
                <w:szCs w:val="21"/>
              </w:rPr>
              <w:t>类</w:t>
            </w:r>
            <w:r>
              <w:rPr>
                <w:rFonts w:hint="eastAsia" w:ascii="仿宋_GB2312" w:hAnsi="华文中宋" w:eastAsia="仿宋_GB2312" w:cs="仿宋_GB2312"/>
                <w:color w:val="auto"/>
                <w:kern w:val="0"/>
                <w:szCs w:val="21"/>
                <w:lang w:eastAsia="zh-CN"/>
              </w:rPr>
              <w:t>住</w:t>
            </w:r>
            <w:r>
              <w:rPr>
                <w:rFonts w:hint="eastAsia" w:ascii="仿宋_GB2312" w:hAnsi="华文中宋" w:eastAsia="仿宋_GB2312" w:cs="仿宋_GB2312"/>
                <w:color w:val="auto"/>
                <w:kern w:val="0"/>
                <w:szCs w:val="21"/>
              </w:rPr>
              <w:t>房不加分。</w:t>
            </w:r>
          </w:p>
        </w:tc>
        <w:tc>
          <w:tcPr>
            <w:tcW w:w="5257" w:type="dxa"/>
            <w:vMerge w:val="continue"/>
            <w:noWrap w:val="0"/>
            <w:tcMar>
              <w:right w:w="170" w:type="dxa"/>
            </w:tcMar>
            <w:vAlign w:val="top"/>
          </w:tcPr>
          <w:p>
            <w:pPr>
              <w:spacing w:line="600" w:lineRule="exact"/>
              <w:ind w:right="-155" w:rightChars="-74"/>
              <w:jc w:val="center"/>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27" w:type="dxa"/>
            <w:noWrap w:val="0"/>
            <w:tcMar>
              <w:right w:w="170" w:type="dxa"/>
            </w:tcMar>
            <w:vAlign w:val="center"/>
          </w:tcPr>
          <w:p>
            <w:pPr>
              <w:autoSpaceDE w:val="0"/>
              <w:autoSpaceDN w:val="0"/>
              <w:adjustRightInd w:val="0"/>
              <w:snapToGrid w:val="0"/>
              <w:jc w:val="center"/>
              <w:rPr>
                <w:rFonts w:hint="eastAsia" w:ascii="仿宋_GB2312" w:hAnsi="华文中宋" w:eastAsia="仿宋_GB2312" w:cs="仿宋_GB2312"/>
                <w:kern w:val="0"/>
                <w:szCs w:val="21"/>
              </w:rPr>
            </w:pPr>
            <w:r>
              <w:rPr>
                <w:rFonts w:hint="eastAsia" w:ascii="仿宋_GB2312" w:hAnsi="华文中宋" w:eastAsia="仿宋_GB2312" w:cs="仿宋_GB2312"/>
                <w:kern w:val="0"/>
                <w:szCs w:val="21"/>
              </w:rPr>
              <w:t>第四类</w:t>
            </w:r>
          </w:p>
        </w:tc>
        <w:tc>
          <w:tcPr>
            <w:tcW w:w="1245" w:type="dxa"/>
            <w:noWrap w:val="0"/>
            <w:tcMar>
              <w:right w:w="170" w:type="dxa"/>
            </w:tcMar>
            <w:vAlign w:val="center"/>
          </w:tcPr>
          <w:p>
            <w:pPr>
              <w:autoSpaceDE w:val="0"/>
              <w:autoSpaceDN w:val="0"/>
              <w:adjustRightInd w:val="0"/>
              <w:snapToGrid w:val="0"/>
              <w:jc w:val="center"/>
              <w:rPr>
                <w:rFonts w:hint="eastAsia" w:ascii="仿宋_GB2312" w:hAnsi="华文中宋" w:eastAsia="仿宋_GB2312" w:cs="仿宋_GB2312"/>
                <w:kern w:val="0"/>
                <w:szCs w:val="21"/>
              </w:rPr>
            </w:pPr>
            <w:r>
              <w:rPr>
                <w:rFonts w:hint="eastAsia" w:ascii="仿宋_GB2312" w:hAnsi="华文中宋" w:eastAsia="仿宋_GB2312" w:cs="仿宋_GB2312"/>
                <w:kern w:val="0"/>
                <w:szCs w:val="21"/>
              </w:rPr>
              <w:t>深圳其他区户籍</w:t>
            </w:r>
          </w:p>
        </w:tc>
        <w:tc>
          <w:tcPr>
            <w:tcW w:w="1920" w:type="dxa"/>
            <w:noWrap w:val="0"/>
            <w:tcMar>
              <w:right w:w="170" w:type="dxa"/>
            </w:tcMar>
            <w:vAlign w:val="center"/>
          </w:tcPr>
          <w:p>
            <w:pPr>
              <w:ind w:right="-155" w:rightChars="-74"/>
              <w:jc w:val="center"/>
              <w:rPr>
                <w:rFonts w:hint="eastAsia" w:ascii="宋体" w:hAnsi="宋体"/>
                <w:szCs w:val="21"/>
              </w:rPr>
            </w:pPr>
            <w:r>
              <w:rPr>
                <w:rFonts w:hint="eastAsia" w:ascii="仿宋_GB2312" w:hAnsi="华文中宋" w:eastAsia="仿宋_GB2312" w:cs="仿宋_GB2312"/>
                <w:kern w:val="0"/>
                <w:szCs w:val="21"/>
              </w:rPr>
              <w:t>学区内租房或公共租赁房或其他类住房</w:t>
            </w:r>
          </w:p>
        </w:tc>
        <w:tc>
          <w:tcPr>
            <w:tcW w:w="990" w:type="dxa"/>
            <w:vMerge w:val="continue"/>
            <w:noWrap w:val="0"/>
            <w:tcMar>
              <w:right w:w="170" w:type="dxa"/>
            </w:tcMar>
            <w:vAlign w:val="center"/>
          </w:tcPr>
          <w:p>
            <w:pPr>
              <w:ind w:right="-155" w:rightChars="-74"/>
              <w:jc w:val="center"/>
              <w:rPr>
                <w:rFonts w:hint="eastAsia" w:ascii="仿宋_GB2312" w:hAnsi="华文中宋" w:eastAsia="仿宋_GB2312" w:cs="仿宋_GB2312"/>
                <w:kern w:val="0"/>
                <w:szCs w:val="21"/>
              </w:rPr>
            </w:pPr>
          </w:p>
        </w:tc>
        <w:tc>
          <w:tcPr>
            <w:tcW w:w="3435" w:type="dxa"/>
            <w:vMerge w:val="continue"/>
            <w:noWrap w:val="0"/>
            <w:tcMar>
              <w:right w:w="170" w:type="dxa"/>
            </w:tcMar>
            <w:vAlign w:val="top"/>
          </w:tcPr>
          <w:p>
            <w:pPr>
              <w:spacing w:line="600" w:lineRule="exact"/>
              <w:ind w:right="-155" w:rightChars="-74"/>
              <w:jc w:val="center"/>
              <w:rPr>
                <w:rFonts w:hint="eastAsia" w:ascii="宋体" w:hAnsi="宋体"/>
                <w:szCs w:val="21"/>
              </w:rPr>
            </w:pPr>
          </w:p>
        </w:tc>
        <w:tc>
          <w:tcPr>
            <w:tcW w:w="5257" w:type="dxa"/>
            <w:vMerge w:val="continue"/>
            <w:noWrap w:val="0"/>
            <w:tcMar>
              <w:right w:w="170" w:type="dxa"/>
            </w:tcMar>
            <w:vAlign w:val="top"/>
          </w:tcPr>
          <w:p>
            <w:pPr>
              <w:spacing w:line="600" w:lineRule="exact"/>
              <w:ind w:right="-155" w:rightChars="-74"/>
              <w:jc w:val="center"/>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1327" w:type="dxa"/>
            <w:noWrap w:val="0"/>
            <w:tcMar>
              <w:right w:w="170" w:type="dxa"/>
            </w:tcMar>
            <w:vAlign w:val="center"/>
          </w:tcPr>
          <w:p>
            <w:pPr>
              <w:autoSpaceDE w:val="0"/>
              <w:autoSpaceDN w:val="0"/>
              <w:adjustRightInd w:val="0"/>
              <w:snapToGrid w:val="0"/>
              <w:jc w:val="center"/>
              <w:rPr>
                <w:rFonts w:hint="eastAsia" w:ascii="仿宋_GB2312" w:hAnsi="华文中宋" w:eastAsia="仿宋_GB2312" w:cs="仿宋_GB2312"/>
                <w:kern w:val="0"/>
                <w:szCs w:val="21"/>
              </w:rPr>
            </w:pPr>
            <w:r>
              <w:rPr>
                <w:rFonts w:hint="eastAsia" w:ascii="仿宋_GB2312" w:hAnsi="华文中宋" w:eastAsia="仿宋_GB2312" w:cs="仿宋_GB2312"/>
                <w:kern w:val="0"/>
                <w:szCs w:val="21"/>
              </w:rPr>
              <w:t>第五类</w:t>
            </w:r>
          </w:p>
        </w:tc>
        <w:tc>
          <w:tcPr>
            <w:tcW w:w="1245" w:type="dxa"/>
            <w:noWrap w:val="0"/>
            <w:tcMar>
              <w:right w:w="170" w:type="dxa"/>
            </w:tcMar>
            <w:vAlign w:val="center"/>
          </w:tcPr>
          <w:p>
            <w:pPr>
              <w:autoSpaceDE w:val="0"/>
              <w:autoSpaceDN w:val="0"/>
              <w:adjustRightInd w:val="0"/>
              <w:snapToGrid w:val="0"/>
              <w:jc w:val="center"/>
              <w:rPr>
                <w:rFonts w:hint="eastAsia" w:ascii="仿宋_GB2312" w:hAnsi="华文中宋" w:eastAsia="仿宋_GB2312" w:cs="仿宋_GB2312"/>
                <w:kern w:val="0"/>
                <w:szCs w:val="21"/>
              </w:rPr>
            </w:pPr>
            <w:r>
              <w:rPr>
                <w:rFonts w:hint="eastAsia" w:ascii="仿宋_GB2312" w:hAnsi="华文中宋" w:eastAsia="仿宋_GB2312" w:cs="仿宋_GB2312"/>
                <w:kern w:val="0"/>
                <w:szCs w:val="21"/>
              </w:rPr>
              <w:t>非深</w:t>
            </w:r>
          </w:p>
          <w:p>
            <w:pPr>
              <w:autoSpaceDE w:val="0"/>
              <w:autoSpaceDN w:val="0"/>
              <w:adjustRightInd w:val="0"/>
              <w:snapToGrid w:val="0"/>
              <w:jc w:val="center"/>
              <w:rPr>
                <w:rFonts w:hint="eastAsia" w:ascii="仿宋_GB2312" w:hAnsi="华文中宋" w:eastAsia="仿宋_GB2312" w:cs="仿宋_GB2312"/>
                <w:kern w:val="0"/>
                <w:szCs w:val="21"/>
              </w:rPr>
            </w:pPr>
            <w:r>
              <w:rPr>
                <w:rFonts w:hint="eastAsia" w:ascii="仿宋_GB2312" w:hAnsi="华文中宋" w:eastAsia="仿宋_GB2312" w:cs="仿宋_GB2312"/>
                <w:kern w:val="0"/>
                <w:szCs w:val="21"/>
              </w:rPr>
              <w:t>户籍</w:t>
            </w:r>
          </w:p>
        </w:tc>
        <w:tc>
          <w:tcPr>
            <w:tcW w:w="1920" w:type="dxa"/>
            <w:noWrap w:val="0"/>
            <w:tcMar>
              <w:right w:w="170" w:type="dxa"/>
            </w:tcMar>
            <w:vAlign w:val="center"/>
          </w:tcPr>
          <w:p>
            <w:pPr>
              <w:ind w:right="-155" w:rightChars="-74"/>
              <w:rPr>
                <w:rFonts w:hint="eastAsia" w:ascii="宋体" w:hAnsi="宋体"/>
                <w:szCs w:val="21"/>
              </w:rPr>
            </w:pPr>
            <w:r>
              <w:rPr>
                <w:rFonts w:hint="eastAsia" w:ascii="仿宋_GB2312" w:hAnsi="华文中宋" w:eastAsia="仿宋_GB2312" w:cs="仿宋_GB2312"/>
                <w:kern w:val="0"/>
                <w:szCs w:val="21"/>
              </w:rPr>
              <w:t>学区内商品房</w:t>
            </w:r>
          </w:p>
        </w:tc>
        <w:tc>
          <w:tcPr>
            <w:tcW w:w="990" w:type="dxa"/>
            <w:vMerge w:val="continue"/>
            <w:noWrap w:val="0"/>
            <w:tcMar>
              <w:right w:w="170" w:type="dxa"/>
            </w:tcMar>
            <w:vAlign w:val="center"/>
          </w:tcPr>
          <w:p>
            <w:pPr>
              <w:ind w:right="-155" w:rightChars="-74"/>
              <w:rPr>
                <w:rFonts w:hint="eastAsia" w:ascii="仿宋_GB2312" w:hAnsi="华文中宋" w:eastAsia="仿宋_GB2312" w:cs="仿宋_GB2312"/>
                <w:kern w:val="0"/>
                <w:szCs w:val="21"/>
              </w:rPr>
            </w:pPr>
          </w:p>
        </w:tc>
        <w:tc>
          <w:tcPr>
            <w:tcW w:w="3435" w:type="dxa"/>
            <w:vMerge w:val="restart"/>
            <w:noWrap w:val="0"/>
            <w:tcMar>
              <w:right w:w="170" w:type="dxa"/>
            </w:tcMar>
            <w:vAlign w:val="center"/>
          </w:tcPr>
          <w:p>
            <w:pPr>
              <w:ind w:right="-155" w:rightChars="-74"/>
              <w:rPr>
                <w:rFonts w:hint="eastAsia" w:ascii="宋体" w:hAnsi="宋体"/>
                <w:szCs w:val="21"/>
              </w:rPr>
            </w:pPr>
            <w:r>
              <w:rPr>
                <w:rFonts w:hint="eastAsia" w:ascii="仿宋_GB2312" w:hAnsi="华文中宋" w:eastAsia="仿宋_GB2312" w:cs="仿宋_GB2312"/>
                <w:kern w:val="0"/>
                <w:szCs w:val="21"/>
                <w:highlight w:val="none"/>
              </w:rPr>
              <w:t>按照申请入学适龄儿童、少年的父母（或法定监护人）在深圳市缴纳社会保险（必须同时购买养老保险和医疗保险两险种）时间最长的一方计算积分，以同时缴纳养老保险和医疗保险的月数作为积分月数，每满1个月加0.1分，补缴</w:t>
            </w:r>
            <w:r>
              <w:rPr>
                <w:rFonts w:hint="eastAsia" w:ascii="仿宋_GB2312" w:hAnsi="华文中宋" w:eastAsia="仿宋_GB2312" w:cs="仿宋_GB2312"/>
                <w:kern w:val="0"/>
                <w:szCs w:val="21"/>
                <w:highlight w:val="none"/>
                <w:lang w:eastAsia="zh-CN"/>
              </w:rPr>
              <w:t>月数</w:t>
            </w:r>
            <w:r>
              <w:rPr>
                <w:rFonts w:hint="eastAsia" w:ascii="仿宋_GB2312" w:hAnsi="华文中宋" w:eastAsia="仿宋_GB2312" w:cs="仿宋_GB2312"/>
                <w:kern w:val="0"/>
                <w:szCs w:val="21"/>
                <w:highlight w:val="none"/>
              </w:rPr>
              <w:t>不纳入积分。</w:t>
            </w:r>
          </w:p>
        </w:tc>
        <w:tc>
          <w:tcPr>
            <w:tcW w:w="5257" w:type="dxa"/>
            <w:vMerge w:val="restart"/>
            <w:noWrap w:val="0"/>
            <w:tcMar>
              <w:right w:w="170" w:type="dxa"/>
            </w:tcMar>
            <w:vAlign w:val="center"/>
          </w:tcPr>
          <w:p>
            <w:pPr>
              <w:ind w:right="-155" w:rightChars="-74"/>
              <w:jc w:val="both"/>
              <w:rPr>
                <w:rFonts w:hint="eastAsia" w:ascii="仿宋_GB2312" w:hAnsi="华文中宋" w:eastAsia="仿宋_GB2312" w:cs="仿宋_GB2312"/>
                <w:kern w:val="0"/>
                <w:szCs w:val="21"/>
              </w:rPr>
            </w:pPr>
            <w:r>
              <w:rPr>
                <w:rFonts w:hint="eastAsia" w:ascii="仿宋_GB2312" w:hAnsi="华文中宋" w:eastAsia="仿宋_GB2312" w:cs="仿宋_GB2312"/>
                <w:kern w:val="0"/>
                <w:szCs w:val="21"/>
              </w:rPr>
              <w:t>申请入学适龄儿童、少年的父母(或法定监护人）具有使用功能的《深圳经济特区居住证》或《中华人民共和国港澳居民居住证》时间最长的一方计算积分，每满一个月加0.1分；如果父母（或法定监护人）有一方是深圳户籍的，经申请人申请，可以以父母一方户籍迁入深圳的时间计算积分，每满1个月加0.1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27" w:type="dxa"/>
            <w:noWrap w:val="0"/>
            <w:tcMar>
              <w:right w:w="170" w:type="dxa"/>
            </w:tcMar>
            <w:vAlign w:val="center"/>
          </w:tcPr>
          <w:p>
            <w:pPr>
              <w:autoSpaceDE w:val="0"/>
              <w:autoSpaceDN w:val="0"/>
              <w:adjustRightInd w:val="0"/>
              <w:snapToGrid w:val="0"/>
              <w:jc w:val="center"/>
              <w:rPr>
                <w:rFonts w:hint="eastAsia" w:ascii="仿宋_GB2312" w:hAnsi="华文中宋" w:eastAsia="仿宋_GB2312" w:cs="仿宋_GB2312"/>
                <w:kern w:val="0"/>
                <w:szCs w:val="21"/>
              </w:rPr>
            </w:pPr>
            <w:r>
              <w:rPr>
                <w:rFonts w:hint="eastAsia" w:ascii="仿宋_GB2312" w:hAnsi="华文中宋" w:eastAsia="仿宋_GB2312" w:cs="仿宋_GB2312"/>
                <w:kern w:val="0"/>
                <w:szCs w:val="21"/>
              </w:rPr>
              <w:t>第六类</w:t>
            </w:r>
          </w:p>
        </w:tc>
        <w:tc>
          <w:tcPr>
            <w:tcW w:w="1245" w:type="dxa"/>
            <w:noWrap w:val="0"/>
            <w:tcMar>
              <w:right w:w="170" w:type="dxa"/>
            </w:tcMar>
            <w:vAlign w:val="center"/>
          </w:tcPr>
          <w:p>
            <w:pPr>
              <w:autoSpaceDE w:val="0"/>
              <w:autoSpaceDN w:val="0"/>
              <w:adjustRightInd w:val="0"/>
              <w:snapToGrid w:val="0"/>
              <w:jc w:val="center"/>
              <w:rPr>
                <w:rFonts w:hint="eastAsia" w:ascii="仿宋_GB2312" w:hAnsi="华文中宋" w:eastAsia="仿宋_GB2312" w:cs="仿宋_GB2312"/>
                <w:kern w:val="0"/>
                <w:szCs w:val="21"/>
              </w:rPr>
            </w:pPr>
            <w:r>
              <w:rPr>
                <w:rFonts w:hint="eastAsia" w:ascii="仿宋_GB2312" w:hAnsi="华文中宋" w:eastAsia="仿宋_GB2312" w:cs="仿宋_GB2312"/>
                <w:kern w:val="0"/>
                <w:szCs w:val="21"/>
              </w:rPr>
              <w:t>非深</w:t>
            </w:r>
          </w:p>
          <w:p>
            <w:pPr>
              <w:autoSpaceDE w:val="0"/>
              <w:autoSpaceDN w:val="0"/>
              <w:adjustRightInd w:val="0"/>
              <w:snapToGrid w:val="0"/>
              <w:jc w:val="center"/>
              <w:rPr>
                <w:rFonts w:hint="eastAsia" w:ascii="仿宋_GB2312" w:hAnsi="华文中宋" w:eastAsia="仿宋_GB2312" w:cs="仿宋_GB2312"/>
                <w:kern w:val="0"/>
                <w:szCs w:val="21"/>
              </w:rPr>
            </w:pPr>
            <w:r>
              <w:rPr>
                <w:rFonts w:hint="eastAsia" w:ascii="仿宋_GB2312" w:hAnsi="华文中宋" w:eastAsia="仿宋_GB2312" w:cs="仿宋_GB2312"/>
                <w:kern w:val="0"/>
                <w:szCs w:val="21"/>
              </w:rPr>
              <w:t>户籍</w:t>
            </w:r>
          </w:p>
        </w:tc>
        <w:tc>
          <w:tcPr>
            <w:tcW w:w="1920" w:type="dxa"/>
            <w:noWrap w:val="0"/>
            <w:tcMar>
              <w:right w:w="170" w:type="dxa"/>
            </w:tcMar>
            <w:vAlign w:val="center"/>
          </w:tcPr>
          <w:p>
            <w:pPr>
              <w:ind w:right="-155" w:rightChars="-74"/>
              <w:rPr>
                <w:rFonts w:hint="eastAsia" w:ascii="宋体" w:hAnsi="宋体"/>
                <w:szCs w:val="21"/>
              </w:rPr>
            </w:pPr>
            <w:r>
              <w:rPr>
                <w:rFonts w:hint="eastAsia" w:ascii="仿宋_GB2312" w:hAnsi="华文中宋" w:eastAsia="仿宋_GB2312" w:cs="仿宋_GB2312"/>
                <w:kern w:val="0"/>
                <w:szCs w:val="21"/>
              </w:rPr>
              <w:t>学区内租房或公共租赁房或其他类住房</w:t>
            </w:r>
          </w:p>
        </w:tc>
        <w:tc>
          <w:tcPr>
            <w:tcW w:w="990" w:type="dxa"/>
            <w:vMerge w:val="continue"/>
            <w:noWrap w:val="0"/>
            <w:tcMar>
              <w:right w:w="170" w:type="dxa"/>
            </w:tcMar>
            <w:vAlign w:val="center"/>
          </w:tcPr>
          <w:p>
            <w:pPr>
              <w:ind w:right="-155" w:rightChars="-74"/>
              <w:rPr>
                <w:rFonts w:hint="eastAsia" w:ascii="仿宋_GB2312" w:hAnsi="华文中宋" w:eastAsia="仿宋_GB2312" w:cs="仿宋_GB2312"/>
                <w:kern w:val="0"/>
                <w:szCs w:val="21"/>
              </w:rPr>
            </w:pPr>
          </w:p>
        </w:tc>
        <w:tc>
          <w:tcPr>
            <w:tcW w:w="3435" w:type="dxa"/>
            <w:vMerge w:val="continue"/>
            <w:noWrap w:val="0"/>
            <w:tcMar>
              <w:right w:w="170" w:type="dxa"/>
            </w:tcMar>
            <w:vAlign w:val="center"/>
          </w:tcPr>
          <w:p>
            <w:pPr>
              <w:spacing w:line="600" w:lineRule="exact"/>
              <w:ind w:right="-155" w:rightChars="-74"/>
              <w:rPr>
                <w:rFonts w:hint="eastAsia" w:ascii="宋体" w:hAnsi="宋体"/>
                <w:szCs w:val="21"/>
              </w:rPr>
            </w:pPr>
          </w:p>
        </w:tc>
        <w:tc>
          <w:tcPr>
            <w:tcW w:w="5257" w:type="dxa"/>
            <w:vMerge w:val="continue"/>
            <w:noWrap w:val="0"/>
            <w:tcMar>
              <w:right w:w="170" w:type="dxa"/>
            </w:tcMar>
            <w:vAlign w:val="top"/>
          </w:tcPr>
          <w:p>
            <w:pPr>
              <w:spacing w:line="600" w:lineRule="exact"/>
              <w:ind w:right="-155" w:rightChars="-74"/>
              <w:jc w:val="center"/>
              <w:rPr>
                <w:rFonts w:hint="eastAsia" w:ascii="宋体" w:hAnsi="宋体"/>
                <w:szCs w:val="21"/>
              </w:rPr>
            </w:pPr>
          </w:p>
        </w:tc>
      </w:tr>
    </w:tbl>
    <w:p>
      <w:pPr>
        <w:autoSpaceDE w:val="0"/>
        <w:autoSpaceDN w:val="0"/>
        <w:adjustRightInd w:val="0"/>
        <w:snapToGrid w:val="0"/>
        <w:ind w:firstLine="240" w:firstLineChars="100"/>
        <w:rPr>
          <w:rFonts w:hint="eastAsia" w:eastAsia="仿宋_GB2312" w:cs="仿宋_GB2312"/>
          <w:kern w:val="0"/>
          <w:sz w:val="24"/>
        </w:rPr>
      </w:pPr>
    </w:p>
    <w:p>
      <w:pPr>
        <w:autoSpaceDE w:val="0"/>
        <w:autoSpaceDN w:val="0"/>
        <w:adjustRightInd w:val="0"/>
        <w:snapToGrid w:val="0"/>
        <w:ind w:firstLine="480"/>
        <w:rPr>
          <w:rFonts w:hint="eastAsia" w:eastAsia="仿宋_GB2312" w:cs="仿宋_GB2312"/>
          <w:kern w:val="0"/>
          <w:sz w:val="24"/>
        </w:rPr>
      </w:pPr>
      <w:r>
        <w:rPr>
          <w:rFonts w:hint="eastAsia" w:eastAsia="仿宋_GB2312" w:cs="仿宋_GB2312"/>
          <w:kern w:val="0"/>
          <w:sz w:val="24"/>
        </w:rPr>
        <w:t>说明：</w:t>
      </w:r>
    </w:p>
    <w:p>
      <w:pPr>
        <w:autoSpaceDE w:val="0"/>
        <w:autoSpaceDN w:val="0"/>
        <w:adjustRightInd w:val="0"/>
        <w:snapToGrid w:val="0"/>
        <w:ind w:firstLine="480"/>
        <w:rPr>
          <w:rFonts w:hint="eastAsia" w:eastAsia="仿宋_GB2312" w:cs="仿宋_GB2312"/>
          <w:kern w:val="0"/>
          <w:sz w:val="24"/>
        </w:rPr>
      </w:pPr>
      <w:r>
        <w:rPr>
          <w:rFonts w:hint="eastAsia" w:eastAsia="仿宋_GB2312" w:cs="仿宋_GB2312"/>
          <w:kern w:val="0"/>
          <w:sz w:val="24"/>
        </w:rPr>
        <w:t>1．以上</w:t>
      </w:r>
      <w:r>
        <w:rPr>
          <w:rFonts w:hint="eastAsia" w:eastAsia="仿宋_GB2312" w:cs="仿宋_GB2312"/>
          <w:kern w:val="0"/>
          <w:sz w:val="24"/>
          <w:lang w:eastAsia="zh-CN"/>
        </w:rPr>
        <w:t>住房、社保、户籍</w:t>
      </w:r>
      <w:r>
        <w:rPr>
          <w:rFonts w:hint="eastAsia" w:eastAsia="仿宋_GB2312" w:cs="仿宋_GB2312"/>
          <w:kern w:val="0"/>
          <w:sz w:val="24"/>
        </w:rPr>
        <w:t>积分项积分不封顶。</w:t>
      </w:r>
    </w:p>
    <w:p>
      <w:pPr>
        <w:autoSpaceDE w:val="0"/>
        <w:autoSpaceDN w:val="0"/>
        <w:adjustRightInd w:val="0"/>
        <w:snapToGrid w:val="0"/>
        <w:ind w:firstLine="480"/>
        <w:rPr>
          <w:rFonts w:hint="eastAsia" w:eastAsia="仿宋_GB2312" w:cs="仿宋_GB2312"/>
          <w:kern w:val="0"/>
          <w:sz w:val="24"/>
        </w:rPr>
      </w:pPr>
      <w:r>
        <w:rPr>
          <w:rFonts w:hint="eastAsia" w:eastAsia="仿宋_GB2312" w:cs="仿宋_GB2312"/>
          <w:kern w:val="0"/>
          <w:sz w:val="24"/>
        </w:rPr>
        <w:t>2．招生系统根据户籍、住房类别和社保等条件自动生成学位类型和积分，学位申请材料经“市政府政务服务数据管理平台”数据资源库后台比对和审核后，其学位类型和积分正式有效。</w:t>
      </w:r>
    </w:p>
    <w:p>
      <w:pPr>
        <w:autoSpaceDE w:val="0"/>
        <w:autoSpaceDN w:val="0"/>
        <w:adjustRightInd w:val="0"/>
        <w:snapToGrid w:val="0"/>
        <w:ind w:firstLine="480"/>
        <w:rPr>
          <w:rFonts w:hint="eastAsia" w:eastAsia="仿宋_GB2312" w:cs="仿宋_GB2312"/>
          <w:kern w:val="0"/>
          <w:sz w:val="24"/>
        </w:rPr>
      </w:pPr>
      <w:r>
        <w:rPr>
          <w:rFonts w:hint="eastAsia" w:eastAsia="仿宋_GB2312" w:cs="仿宋_GB2312"/>
          <w:kern w:val="0"/>
          <w:sz w:val="24"/>
        </w:rPr>
        <w:t>3．商品房及安居商品房购房合同、其他类住房可作为住房材料申请学位，但不参与积分。</w:t>
      </w:r>
    </w:p>
    <w:p>
      <w:pPr>
        <w:autoSpaceDE w:val="0"/>
        <w:autoSpaceDN w:val="0"/>
        <w:adjustRightInd w:val="0"/>
        <w:snapToGrid w:val="0"/>
        <w:ind w:firstLine="480"/>
        <w:rPr>
          <w:rFonts w:hint="eastAsia" w:eastAsia="仿宋_GB2312" w:cs="仿宋_GB2312"/>
          <w:kern w:val="0"/>
          <w:sz w:val="24"/>
        </w:rPr>
      </w:pPr>
      <w:r>
        <w:rPr>
          <w:rFonts w:hint="eastAsia" w:eastAsia="仿宋_GB2312" w:cs="仿宋_GB2312"/>
          <w:kern w:val="0"/>
          <w:sz w:val="24"/>
          <w:lang w:val="en-US" w:eastAsia="zh-CN"/>
        </w:rPr>
        <w:t>4</w:t>
      </w:r>
      <w:r>
        <w:rPr>
          <w:rFonts w:hint="eastAsia" w:eastAsia="仿宋_GB2312" w:cs="仿宋_GB2312"/>
          <w:kern w:val="0"/>
          <w:sz w:val="24"/>
        </w:rPr>
        <w:t>．</w:t>
      </w:r>
      <w:r>
        <w:rPr>
          <w:rFonts w:hint="eastAsia" w:eastAsia="仿宋_GB2312" w:cs="仿宋_GB2312"/>
          <w:kern w:val="0"/>
          <w:sz w:val="24"/>
          <w:lang w:val="en-US" w:eastAsia="zh-CN"/>
        </w:rPr>
        <w:t>同学位类型同分时，深户按照另一监护人的入深户时间排序（依次录取，录满为止）；非深户按照另一监护人持有的具有使用功能的《深圳特区居住证》办理时间排序（依次录取，录满为止）。</w:t>
      </w:r>
    </w:p>
    <w:p>
      <w:pPr>
        <w:autoSpaceDE w:val="0"/>
        <w:autoSpaceDN w:val="0"/>
        <w:adjustRightInd w:val="0"/>
        <w:snapToGrid w:val="0"/>
        <w:ind w:firstLine="480"/>
        <w:rPr>
          <w:rFonts w:hint="eastAsia" w:eastAsia="仿宋_GB2312" w:cs="仿宋_GB2312"/>
          <w:kern w:val="0"/>
          <w:sz w:val="24"/>
          <w:lang w:val="en-US" w:eastAsia="zh-CN"/>
        </w:rPr>
      </w:pPr>
      <w:r>
        <w:rPr>
          <w:rFonts w:hint="eastAsia" w:eastAsia="仿宋_GB2312" w:cs="仿宋_GB2312"/>
          <w:kern w:val="0"/>
          <w:sz w:val="24"/>
          <w:lang w:val="en-US" w:eastAsia="zh-CN"/>
        </w:rPr>
        <w:t>5</w:t>
      </w:r>
      <w:r>
        <w:rPr>
          <w:rFonts w:hint="eastAsia" w:eastAsia="仿宋_GB2312" w:cs="仿宋_GB2312"/>
          <w:kern w:val="0"/>
          <w:sz w:val="24"/>
        </w:rPr>
        <w:t>．</w:t>
      </w:r>
      <w:r>
        <w:rPr>
          <w:rFonts w:hint="eastAsia" w:eastAsia="仿宋_GB2312" w:cs="仿宋_GB2312"/>
          <w:kern w:val="0"/>
          <w:sz w:val="24"/>
          <w:lang w:eastAsia="zh-CN"/>
        </w:rPr>
        <w:t>以上积分办法不包括大学区，大学区积分办法另行制定。</w:t>
      </w:r>
    </w:p>
    <w:p>
      <w:pPr>
        <w:autoSpaceDE w:val="0"/>
        <w:autoSpaceDN w:val="0"/>
        <w:adjustRightInd w:val="0"/>
        <w:snapToGrid w:val="0"/>
        <w:rPr>
          <w:rFonts w:hint="eastAsia" w:eastAsia="仿宋_GB2312" w:cs="仿宋_GB2312"/>
          <w:kern w:val="0"/>
          <w:sz w:val="24"/>
          <w:lang w:eastAsia="zh-CN"/>
        </w:rPr>
      </w:pPr>
    </w:p>
    <w:p/>
    <w:sectPr>
      <w:headerReference r:id="rId3" w:type="default"/>
      <w:footerReference r:id="rId4" w:type="default"/>
      <w:pgSz w:w="16838" w:h="11906" w:orient="landscape"/>
      <w:pgMar w:top="960" w:right="1440" w:bottom="1132" w:left="144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光简小标宋">
    <w:altName w:val="宋体"/>
    <w:panose1 w:val="02010609000101010101"/>
    <w:charset w:val="00"/>
    <w:family w:val="modern"/>
    <w:pitch w:val="default"/>
    <w:sig w:usb0="00000000" w:usb1="00000000" w:usb2="00000000" w:usb3="00000000" w:csb0="0000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top w:val="none" w:color="auto" w:sz="0" w:space="0"/>
        <w:left w:val="none" w:color="auto" w:sz="0" w:space="0"/>
        <w:bottom w:val="none" w:color="auto" w:sz="0" w:space="1"/>
        <w:right w:val="none" w:color="auto" w:sz="0" w:space="0"/>
        <w:between w:val="none" w:color="auto" w:sz="0" w:space="0"/>
      </w:pBdr>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7"/>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F985AEE"/>
    <w:rsid w:val="0F985AEE"/>
    <w:rsid w:val="55DB59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6">
    <w:name w:val="page number"/>
    <w:basedOn w:val="5"/>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2024-07-04T01:57:00Z</dcterms:created>
  <dc:creator>iki</dc:creator>
  <cp:lastModifiedBy>NTKO</cp:lastModifiedBy>
  <dcterms:modified xsi:type="dcterms:W3CDTF">2024-07-04T08:40:33Z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374AF16507124C589561A625E3625B86</vt:lpwstr>
  </property>
</Properties>
</file>