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3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004"/>
        <w:gridCol w:w="1200"/>
        <w:gridCol w:w="1215"/>
        <w:gridCol w:w="1350"/>
        <w:gridCol w:w="1530"/>
        <w:gridCol w:w="1335"/>
        <w:gridCol w:w="1021"/>
        <w:gridCol w:w="855"/>
        <w:gridCol w:w="8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10351" w:type="dxa"/>
            <w:gridSpan w:val="9"/>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等线" w:hAnsi="等线" w:eastAsia="等线" w:cs="等线"/>
                <w:b/>
                <w:bCs/>
                <w:i w:val="0"/>
                <w:iCs w:val="0"/>
                <w:color w:val="000000"/>
                <w:sz w:val="18"/>
                <w:szCs w:val="18"/>
                <w:u w:val="none"/>
              </w:rPr>
            </w:pPr>
            <w:r>
              <w:rPr>
                <w:rFonts w:hint="default" w:ascii="等线" w:hAnsi="等线" w:eastAsia="等线" w:cs="等线"/>
                <w:b/>
                <w:bCs/>
                <w:i w:val="0"/>
                <w:iCs w:val="0"/>
                <w:color w:val="000000"/>
                <w:kern w:val="0"/>
                <w:sz w:val="28"/>
                <w:szCs w:val="28"/>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项目编码：</w:t>
            </w:r>
          </w:p>
        </w:tc>
        <w:tc>
          <w:tcPr>
            <w:tcW w:w="2415"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440309210901500006003</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项目名称：</w:t>
            </w:r>
          </w:p>
        </w:tc>
        <w:tc>
          <w:tcPr>
            <w:tcW w:w="15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大数据管理工作</w:t>
            </w:r>
          </w:p>
        </w:tc>
        <w:tc>
          <w:tcPr>
            <w:tcW w:w="133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绩效自评年度：</w:t>
            </w:r>
          </w:p>
        </w:tc>
        <w:tc>
          <w:tcPr>
            <w:tcW w:w="2716" w:type="dxa"/>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2022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实施单位：</w:t>
            </w:r>
          </w:p>
        </w:tc>
        <w:tc>
          <w:tcPr>
            <w:tcW w:w="2415" w:type="dxa"/>
            <w:gridSpan w:val="2"/>
            <w:tcBorders>
              <w:top w:val="single" w:color="000000" w:sz="4" w:space="0"/>
              <w:left w:val="single" w:color="000000" w:sz="4" w:space="0"/>
              <w:bottom w:val="single" w:color="000000" w:sz="4" w:space="0"/>
              <w:right w:val="nil"/>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深圳市龙华区政务服务数据管理局</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一级预算单位：</w:t>
            </w:r>
          </w:p>
        </w:tc>
        <w:tc>
          <w:tcPr>
            <w:tcW w:w="5581" w:type="dxa"/>
            <w:gridSpan w:val="5"/>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深圳市龙华区政务服务数据管理局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40" w:hRule="atLeast"/>
        </w:trPr>
        <w:tc>
          <w:tcPr>
            <w:tcW w:w="10351" w:type="dxa"/>
            <w:gridSpan w:val="9"/>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资金使用情况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6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1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年初预算数</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全年预算数</w:t>
            </w:r>
          </w:p>
        </w:tc>
        <w:tc>
          <w:tcPr>
            <w:tcW w:w="153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全年执行数</w:t>
            </w:r>
          </w:p>
        </w:tc>
        <w:tc>
          <w:tcPr>
            <w:tcW w:w="133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分值</w:t>
            </w:r>
          </w:p>
        </w:tc>
        <w:tc>
          <w:tcPr>
            <w:tcW w:w="10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执行率（%）</w:t>
            </w:r>
          </w:p>
        </w:tc>
        <w:tc>
          <w:tcPr>
            <w:tcW w:w="1695" w:type="dxa"/>
            <w:gridSpan w:val="2"/>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项目资金（元）</w:t>
            </w:r>
          </w:p>
        </w:tc>
        <w:tc>
          <w:tcPr>
            <w:tcW w:w="120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年度资金总额</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4733500.00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4420129.80</w:t>
            </w:r>
          </w:p>
        </w:tc>
        <w:tc>
          <w:tcPr>
            <w:tcW w:w="15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4414685.68</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10</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99.8800</w:t>
            </w:r>
          </w:p>
        </w:tc>
        <w:tc>
          <w:tcPr>
            <w:tcW w:w="1695"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其中：当年财政拨款</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4733500.00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4420129.80</w:t>
            </w:r>
          </w:p>
        </w:tc>
        <w:tc>
          <w:tcPr>
            <w:tcW w:w="15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4414685.68</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695"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上年结转资金</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5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695"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tcBorders>
              <w:top w:val="single" w:color="000000" w:sz="4" w:space="0"/>
              <w:left w:val="single" w:color="000000" w:sz="4" w:space="0"/>
              <w:bottom w:val="nil"/>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其他资金</w:t>
            </w:r>
          </w:p>
        </w:tc>
        <w:tc>
          <w:tcPr>
            <w:tcW w:w="1215"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350"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530"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335"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021"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695" w:type="dxa"/>
            <w:gridSpan w:val="2"/>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0351" w:type="dxa"/>
            <w:gridSpan w:val="9"/>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项目目标完成情况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年度总体目标</w:t>
            </w:r>
          </w:p>
        </w:tc>
        <w:tc>
          <w:tcPr>
            <w:tcW w:w="5295" w:type="dxa"/>
            <w:gridSpan w:val="4"/>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预期目标</w:t>
            </w:r>
          </w:p>
        </w:tc>
        <w:tc>
          <w:tcPr>
            <w:tcW w:w="4051" w:type="dxa"/>
            <w:gridSpan w:val="4"/>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52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5295" w:type="dxa"/>
            <w:gridSpan w:val="4"/>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1.统一社会信用代码数据库、龙华区政务服务数据月报数据稳定更新；</w:t>
            </w:r>
            <w:r>
              <w:rPr>
                <w:rFonts w:hint="default" w:ascii="等线" w:hAnsi="等线" w:eastAsia="等线" w:cs="等线"/>
                <w:b w:val="0"/>
                <w:bCs w:val="0"/>
                <w:i w:val="0"/>
                <w:iCs w:val="0"/>
                <w:color w:val="333333"/>
                <w:kern w:val="0"/>
                <w:sz w:val="18"/>
                <w:szCs w:val="18"/>
                <w:u w:val="none"/>
                <w:lang w:val="en-US" w:eastAsia="zh-CN" w:bidi="ar"/>
              </w:rPr>
              <w:br w:type="textWrapping"/>
            </w:r>
            <w:r>
              <w:rPr>
                <w:rFonts w:hint="default" w:ascii="等线" w:hAnsi="等线" w:eastAsia="等线" w:cs="等线"/>
                <w:b w:val="0"/>
                <w:bCs w:val="0"/>
                <w:i w:val="0"/>
                <w:iCs w:val="0"/>
                <w:color w:val="333333"/>
                <w:kern w:val="0"/>
                <w:sz w:val="18"/>
                <w:szCs w:val="18"/>
                <w:u w:val="none"/>
                <w:lang w:val="en-US" w:eastAsia="zh-CN" w:bidi="ar"/>
              </w:rPr>
              <w:t>2.通过保障政务服务数据归集和可视化展示，及时动态反馈政务服务运行情况；</w:t>
            </w:r>
            <w:r>
              <w:rPr>
                <w:rFonts w:hint="default" w:ascii="等线" w:hAnsi="等线" w:eastAsia="等线" w:cs="等线"/>
                <w:b w:val="0"/>
                <w:bCs w:val="0"/>
                <w:i w:val="0"/>
                <w:iCs w:val="0"/>
                <w:color w:val="333333"/>
                <w:kern w:val="0"/>
                <w:sz w:val="18"/>
                <w:szCs w:val="18"/>
                <w:u w:val="none"/>
                <w:lang w:val="en-US" w:eastAsia="zh-CN" w:bidi="ar"/>
              </w:rPr>
              <w:br w:type="textWrapping"/>
            </w:r>
            <w:r>
              <w:rPr>
                <w:rFonts w:hint="default" w:ascii="等线" w:hAnsi="等线" w:eastAsia="等线" w:cs="等线"/>
                <w:b w:val="0"/>
                <w:bCs w:val="0"/>
                <w:i w:val="0"/>
                <w:iCs w:val="0"/>
                <w:color w:val="333333"/>
                <w:kern w:val="0"/>
                <w:sz w:val="18"/>
                <w:szCs w:val="18"/>
                <w:u w:val="none"/>
                <w:lang w:val="en-US" w:eastAsia="zh-CN" w:bidi="ar"/>
              </w:rPr>
              <w:t>3.对大数据管理中心办公场所进行综合管理，提供良好办公环境。</w:t>
            </w:r>
            <w:r>
              <w:rPr>
                <w:rFonts w:hint="default" w:ascii="等线" w:hAnsi="等线" w:eastAsia="等线" w:cs="等线"/>
                <w:b w:val="0"/>
                <w:bCs w:val="0"/>
                <w:i w:val="0"/>
                <w:iCs w:val="0"/>
                <w:color w:val="333333"/>
                <w:kern w:val="0"/>
                <w:sz w:val="18"/>
                <w:szCs w:val="18"/>
                <w:u w:val="none"/>
                <w:lang w:val="en-US" w:eastAsia="zh-CN" w:bidi="ar"/>
              </w:rPr>
              <w:br w:type="textWrapping"/>
            </w:r>
            <w:r>
              <w:rPr>
                <w:rFonts w:hint="default" w:ascii="等线" w:hAnsi="等线" w:eastAsia="等线" w:cs="等线"/>
                <w:b w:val="0"/>
                <w:bCs w:val="0"/>
                <w:i w:val="0"/>
                <w:iCs w:val="0"/>
                <w:color w:val="333333"/>
                <w:kern w:val="0"/>
                <w:sz w:val="18"/>
                <w:szCs w:val="18"/>
                <w:u w:val="none"/>
                <w:lang w:val="en-US" w:eastAsia="zh-CN" w:bidi="ar"/>
              </w:rPr>
              <w:t>4.保障物联感知平台正常运行。</w:t>
            </w:r>
          </w:p>
        </w:tc>
        <w:tc>
          <w:tcPr>
            <w:tcW w:w="4051" w:type="dxa"/>
            <w:gridSpan w:val="4"/>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1.统一社会信用代码数据库：统一社会信用代码数据库每月稳定更新，用于持续更新我区法人基础数据库，并通过大数据平台共享给经济大脑平台、数字孪生平台、人才大数据平台等系统。</w:t>
            </w:r>
            <w:r>
              <w:rPr>
                <w:rFonts w:hint="default" w:ascii="等线" w:hAnsi="等线" w:eastAsia="等线" w:cs="等线"/>
                <w:b w:val="0"/>
                <w:bCs w:val="0"/>
                <w:i w:val="0"/>
                <w:iCs w:val="0"/>
                <w:color w:val="333333"/>
                <w:kern w:val="0"/>
                <w:sz w:val="18"/>
                <w:szCs w:val="18"/>
                <w:u w:val="none"/>
                <w:lang w:val="en-US" w:eastAsia="zh-CN" w:bidi="ar"/>
              </w:rPr>
              <w:br w:type="textWrapping"/>
            </w:r>
            <w:r>
              <w:rPr>
                <w:rFonts w:hint="default" w:ascii="等线" w:hAnsi="等线" w:eastAsia="等线" w:cs="等线"/>
                <w:b w:val="0"/>
                <w:bCs w:val="0"/>
                <w:i w:val="0"/>
                <w:iCs w:val="0"/>
                <w:color w:val="333333"/>
                <w:kern w:val="0"/>
                <w:sz w:val="18"/>
                <w:szCs w:val="18"/>
                <w:u w:val="none"/>
                <w:lang w:val="en-US" w:eastAsia="zh-CN" w:bidi="ar"/>
              </w:rPr>
              <w:t>龙华区政务服务数据月报数据稳定更新，2022年共完成12期政务服务数据月报，为龙华高质量发展营造良好的政务环境；</w:t>
            </w:r>
            <w:r>
              <w:rPr>
                <w:rFonts w:hint="default" w:ascii="等线" w:hAnsi="等线" w:eastAsia="等线" w:cs="等线"/>
                <w:b w:val="0"/>
                <w:bCs w:val="0"/>
                <w:i w:val="0"/>
                <w:iCs w:val="0"/>
                <w:color w:val="333333"/>
                <w:kern w:val="0"/>
                <w:sz w:val="18"/>
                <w:szCs w:val="18"/>
                <w:u w:val="none"/>
                <w:lang w:val="en-US" w:eastAsia="zh-CN" w:bidi="ar"/>
              </w:rPr>
              <w:br w:type="textWrapping"/>
            </w:r>
            <w:r>
              <w:rPr>
                <w:rFonts w:hint="default" w:ascii="等线" w:hAnsi="等线" w:eastAsia="等线" w:cs="等线"/>
                <w:b w:val="0"/>
                <w:bCs w:val="0"/>
                <w:i w:val="0"/>
                <w:iCs w:val="0"/>
                <w:color w:val="333333"/>
                <w:kern w:val="0"/>
                <w:sz w:val="18"/>
                <w:szCs w:val="18"/>
                <w:u w:val="none"/>
                <w:lang w:val="en-US" w:eastAsia="zh-CN" w:bidi="ar"/>
              </w:rPr>
              <w:t>2.保障IOC政务服务数据分析和可视化运维，全面利用平台建设和管理优势，收集分析政务服务业务数据在IOC大屏实时展示，以数据形式全面展现政务服务办理情况和企业群众诉求，助力政务服务改革。”</w:t>
            </w:r>
            <w:r>
              <w:rPr>
                <w:rFonts w:hint="default" w:ascii="等线" w:hAnsi="等线" w:eastAsia="等线" w:cs="等线"/>
                <w:b w:val="0"/>
                <w:bCs w:val="0"/>
                <w:i w:val="0"/>
                <w:iCs w:val="0"/>
                <w:color w:val="333333"/>
                <w:kern w:val="0"/>
                <w:sz w:val="18"/>
                <w:szCs w:val="18"/>
                <w:u w:val="none"/>
                <w:lang w:val="en-US" w:eastAsia="zh-CN" w:bidi="ar"/>
              </w:rPr>
              <w:br w:type="textWrapping"/>
            </w:r>
            <w:r>
              <w:rPr>
                <w:rFonts w:hint="default" w:ascii="等线" w:hAnsi="等线" w:eastAsia="等线" w:cs="等线"/>
                <w:b w:val="0"/>
                <w:bCs w:val="0"/>
                <w:i w:val="0"/>
                <w:iCs w:val="0"/>
                <w:color w:val="333333"/>
                <w:kern w:val="0"/>
                <w:sz w:val="18"/>
                <w:szCs w:val="18"/>
                <w:u w:val="none"/>
                <w:lang w:val="en-US" w:eastAsia="zh-CN" w:bidi="ar"/>
              </w:rPr>
              <w:t>3.经向驻点在电信大厦大数据管理中心办公场所办公的 38名工作人员进行满意度问卷调查，其中30名表示满意，8名表示基本满意，满意度100%，为电信大厦大数据管理中心办公场所工作人员提供了良好的办公环境。</w:t>
            </w:r>
            <w:r>
              <w:rPr>
                <w:rFonts w:hint="default" w:ascii="等线" w:hAnsi="等线" w:eastAsia="等线" w:cs="等线"/>
                <w:b w:val="0"/>
                <w:bCs w:val="0"/>
                <w:i w:val="0"/>
                <w:iCs w:val="0"/>
                <w:color w:val="333333"/>
                <w:kern w:val="0"/>
                <w:sz w:val="18"/>
                <w:szCs w:val="18"/>
                <w:u w:val="none"/>
                <w:lang w:val="en-US" w:eastAsia="zh-CN" w:bidi="ar"/>
              </w:rPr>
              <w:br w:type="textWrapping"/>
            </w:r>
            <w:r>
              <w:rPr>
                <w:rFonts w:hint="default" w:ascii="等线" w:hAnsi="等线" w:eastAsia="等线" w:cs="等线"/>
                <w:b w:val="0"/>
                <w:bCs w:val="0"/>
                <w:i w:val="0"/>
                <w:iCs w:val="0"/>
                <w:color w:val="333333"/>
                <w:kern w:val="0"/>
                <w:sz w:val="18"/>
                <w:szCs w:val="18"/>
                <w:u w:val="none"/>
                <w:lang w:val="en-US" w:eastAsia="zh-CN" w:bidi="ar"/>
              </w:rPr>
              <w:t>4.物联感知平台：已根据合同要求提供物联感知平台，并提供相关运维服务保障平台的正常运行。2022年约新增接入3000个物联感知设备（累计约接入达27.7万个），为环水、消防、边坡等相关业务系统提供了数据支撑，实现对城市物联感知设备的统一接入和数据共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40" w:hRule="atLeast"/>
        </w:trPr>
        <w:tc>
          <w:tcPr>
            <w:tcW w:w="1005" w:type="dxa"/>
            <w:vMerge w:val="restart"/>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年度绩效指标</w:t>
            </w:r>
          </w:p>
        </w:tc>
        <w:tc>
          <w:tcPr>
            <w:tcW w:w="120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一级指标</w:t>
            </w:r>
          </w:p>
        </w:tc>
        <w:tc>
          <w:tcPr>
            <w:tcW w:w="121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二级指标</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三级指标</w:t>
            </w:r>
          </w:p>
        </w:tc>
        <w:tc>
          <w:tcPr>
            <w:tcW w:w="153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年度指标值</w:t>
            </w:r>
          </w:p>
        </w:tc>
        <w:tc>
          <w:tcPr>
            <w:tcW w:w="133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实际完成值</w:t>
            </w:r>
          </w:p>
        </w:tc>
        <w:tc>
          <w:tcPr>
            <w:tcW w:w="10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分值</w:t>
            </w:r>
          </w:p>
        </w:tc>
        <w:tc>
          <w:tcPr>
            <w:tcW w:w="85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得分</w:t>
            </w:r>
          </w:p>
        </w:tc>
        <w:tc>
          <w:tcPr>
            <w:tcW w:w="84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产出</w:t>
            </w:r>
            <w:r>
              <w:rPr>
                <w:rFonts w:hint="default" w:ascii="等线" w:hAnsi="等线" w:eastAsia="等线" w:cs="等线"/>
                <w:b w:val="0"/>
                <w:bCs w:val="0"/>
                <w:i w:val="0"/>
                <w:iCs w:val="0"/>
                <w:color w:val="333333"/>
                <w:kern w:val="0"/>
                <w:sz w:val="18"/>
                <w:szCs w:val="18"/>
                <w:u w:val="none"/>
                <w:lang w:val="en-US" w:eastAsia="zh-CN" w:bidi="ar"/>
              </w:rPr>
              <w:br w:type="textWrapping"/>
            </w:r>
            <w:r>
              <w:rPr>
                <w:rFonts w:hint="default" w:ascii="等线" w:hAnsi="等线" w:eastAsia="等线" w:cs="等线"/>
                <w:b w:val="0"/>
                <w:bCs w:val="0"/>
                <w:i w:val="0"/>
                <w:iCs w:val="0"/>
                <w:color w:val="333333"/>
                <w:kern w:val="0"/>
                <w:sz w:val="18"/>
                <w:szCs w:val="18"/>
                <w:u w:val="none"/>
                <w:lang w:val="en-US" w:eastAsia="zh-CN" w:bidi="ar"/>
              </w:rPr>
              <w:t>(50分)</w:t>
            </w: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数量</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政务服务数据月报</w:t>
            </w:r>
          </w:p>
        </w:tc>
        <w:tc>
          <w:tcPr>
            <w:tcW w:w="153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12期</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12期</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6.25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6.25 </w:t>
            </w:r>
          </w:p>
        </w:tc>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接入物联感知设备</w:t>
            </w:r>
          </w:p>
        </w:tc>
        <w:tc>
          <w:tcPr>
            <w:tcW w:w="153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23万个</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27.7万个</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6.25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6.25 </w:t>
            </w:r>
          </w:p>
        </w:tc>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2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1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质量</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统一社会信用代码数据库数据更新稳定性</w:t>
            </w:r>
          </w:p>
        </w:tc>
        <w:tc>
          <w:tcPr>
            <w:tcW w:w="153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能够每月更新</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能够每月更新</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12.50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12.50 </w:t>
            </w:r>
          </w:p>
        </w:tc>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1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时效</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服务项目完成及时率</w:t>
            </w:r>
          </w:p>
        </w:tc>
        <w:tc>
          <w:tcPr>
            <w:tcW w:w="153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100%</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100%</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12.50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12.50 </w:t>
            </w:r>
          </w:p>
        </w:tc>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8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成本</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统一社会信用代码数据库服务项目合同金额</w:t>
            </w:r>
          </w:p>
        </w:tc>
        <w:tc>
          <w:tcPr>
            <w:tcW w:w="153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≤10万元</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10万元</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6.25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6.25 </w:t>
            </w:r>
          </w:p>
        </w:tc>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物联网平台服务项目合同金额</w:t>
            </w:r>
          </w:p>
        </w:tc>
        <w:tc>
          <w:tcPr>
            <w:tcW w:w="153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≤95万元</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94.86万元</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6.25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6.25 </w:t>
            </w:r>
          </w:p>
        </w:tc>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效益</w:t>
            </w:r>
            <w:r>
              <w:rPr>
                <w:rFonts w:hint="default" w:ascii="等线" w:hAnsi="等线" w:eastAsia="等线" w:cs="等线"/>
                <w:b w:val="0"/>
                <w:bCs w:val="0"/>
                <w:i w:val="0"/>
                <w:iCs w:val="0"/>
                <w:color w:val="333333"/>
                <w:kern w:val="0"/>
                <w:sz w:val="18"/>
                <w:szCs w:val="18"/>
                <w:u w:val="none"/>
                <w:lang w:val="en-US" w:eastAsia="zh-CN" w:bidi="ar"/>
              </w:rPr>
              <w:br w:type="textWrapping"/>
            </w:r>
            <w:r>
              <w:rPr>
                <w:rFonts w:hint="default" w:ascii="等线" w:hAnsi="等线" w:eastAsia="等线" w:cs="等线"/>
                <w:b w:val="0"/>
                <w:bCs w:val="0"/>
                <w:i w:val="0"/>
                <w:iCs w:val="0"/>
                <w:color w:val="333333"/>
                <w:kern w:val="0"/>
                <w:sz w:val="18"/>
                <w:szCs w:val="18"/>
                <w:u w:val="none"/>
                <w:lang w:val="en-US" w:eastAsia="zh-CN" w:bidi="ar"/>
              </w:rPr>
              <w:t>(30分)</w:t>
            </w:r>
          </w:p>
        </w:tc>
        <w:tc>
          <w:tcPr>
            <w:tcW w:w="121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经济效益</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53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0.00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0.00 </w:t>
            </w:r>
          </w:p>
        </w:tc>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4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1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社会效益</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政务服务事项可掌上申办，为群众办事提供便利</w:t>
            </w:r>
          </w:p>
        </w:tc>
        <w:tc>
          <w:tcPr>
            <w:tcW w:w="153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80%（含）以上政务服务事项可掌上办理</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92.65%政务服务事项可掌上办理</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30.00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30.00 </w:t>
            </w:r>
          </w:p>
        </w:tc>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1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生态效益</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53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0.00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0.00 </w:t>
            </w:r>
          </w:p>
        </w:tc>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1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可持续影响</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53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0.00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0.00 </w:t>
            </w:r>
          </w:p>
        </w:tc>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2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满意度</w:t>
            </w:r>
            <w:r>
              <w:rPr>
                <w:rFonts w:hint="default" w:ascii="等线" w:hAnsi="等线" w:eastAsia="等线" w:cs="等线"/>
                <w:b w:val="0"/>
                <w:bCs w:val="0"/>
                <w:i w:val="0"/>
                <w:iCs w:val="0"/>
                <w:color w:val="333333"/>
                <w:kern w:val="0"/>
                <w:sz w:val="18"/>
                <w:szCs w:val="18"/>
                <w:u w:val="none"/>
                <w:lang w:val="en-US" w:eastAsia="zh-CN" w:bidi="ar"/>
              </w:rPr>
              <w:br w:type="textWrapping"/>
            </w:r>
            <w:r>
              <w:rPr>
                <w:rFonts w:hint="default" w:ascii="等线" w:hAnsi="等线" w:eastAsia="等线" w:cs="等线"/>
                <w:b w:val="0"/>
                <w:bCs w:val="0"/>
                <w:i w:val="0"/>
                <w:iCs w:val="0"/>
                <w:color w:val="333333"/>
                <w:kern w:val="0"/>
                <w:sz w:val="18"/>
                <w:szCs w:val="18"/>
                <w:u w:val="none"/>
                <w:lang w:val="en-US" w:eastAsia="zh-CN" w:bidi="ar"/>
              </w:rPr>
              <w:t>(10分)</w:t>
            </w:r>
          </w:p>
        </w:tc>
        <w:tc>
          <w:tcPr>
            <w:tcW w:w="121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服务对象满意度</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电信大厦大数据管理中心办公场所办公环境满意度</w:t>
            </w:r>
          </w:p>
        </w:tc>
        <w:tc>
          <w:tcPr>
            <w:tcW w:w="153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满意</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100%满意</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10.00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10.00 </w:t>
            </w:r>
          </w:p>
        </w:tc>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80" w:hRule="atLeast"/>
        </w:trPr>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1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其他满意度</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无</w:t>
            </w:r>
          </w:p>
        </w:tc>
        <w:tc>
          <w:tcPr>
            <w:tcW w:w="153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无</w:t>
            </w:r>
          </w:p>
        </w:tc>
        <w:tc>
          <w:tcPr>
            <w:tcW w:w="133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无</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0.00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0.00 </w:t>
            </w:r>
          </w:p>
        </w:tc>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D9D9D9"/>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等线" w:hAnsi="等线" w:eastAsia="等线" w:cs="等线"/>
                <w:b w:val="0"/>
                <w:bCs w:val="0"/>
                <w:i w:val="0"/>
                <w:iCs w:val="0"/>
                <w:color w:val="333333"/>
                <w:kern w:val="0"/>
                <w:sz w:val="18"/>
                <w:szCs w:val="18"/>
                <w:u w:val="none"/>
                <w:lang w:val="en-US" w:eastAsia="zh-CN" w:bidi="ar"/>
              </w:rPr>
            </w:pPr>
          </w:p>
        </w:tc>
        <w:tc>
          <w:tcPr>
            <w:tcW w:w="6630" w:type="dxa"/>
            <w:gridSpan w:val="5"/>
            <w:tcBorders>
              <w:top w:val="single" w:color="000000" w:sz="4" w:space="0"/>
              <w:left w:val="single" w:color="000000" w:sz="4" w:space="0"/>
              <w:bottom w:val="single" w:color="000000" w:sz="4" w:space="0"/>
              <w:right w:val="single" w:color="000000" w:sz="4" w:space="0"/>
            </w:tcBorders>
            <w:shd w:val="clear" w:color="auto" w:fill="D9D9D9"/>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等线" w:hAnsi="等线" w:eastAsia="等线" w:cs="等线"/>
                <w:b w:val="0"/>
                <w:bCs w:val="0"/>
                <w:i w:val="0"/>
                <w:iCs w:val="0"/>
                <w:color w:val="333333"/>
                <w:kern w:val="0"/>
                <w:sz w:val="18"/>
                <w:szCs w:val="18"/>
                <w:u w:val="none"/>
                <w:lang w:val="en-US" w:eastAsia="zh-CN" w:bidi="ar"/>
              </w:rPr>
            </w:pPr>
            <w:r>
              <w:rPr>
                <w:rFonts w:hint="eastAsia" w:ascii="等线" w:hAnsi="等线" w:eastAsia="等线" w:cs="等线"/>
                <w:b w:val="0"/>
                <w:bCs w:val="0"/>
                <w:i w:val="0"/>
                <w:iCs w:val="0"/>
                <w:color w:val="333333"/>
                <w:kern w:val="0"/>
                <w:sz w:val="18"/>
                <w:szCs w:val="18"/>
                <w:u w:val="none"/>
                <w:lang w:val="en-US" w:eastAsia="zh-CN" w:bidi="ar"/>
              </w:rPr>
              <w:t>总分</w:t>
            </w:r>
          </w:p>
        </w:tc>
        <w:tc>
          <w:tcPr>
            <w:tcW w:w="1021"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等线" w:hAnsi="等线" w:eastAsia="等线" w:cs="等线"/>
                <w:b w:val="0"/>
                <w:bCs w:val="0"/>
                <w:i w:val="0"/>
                <w:iCs w:val="0"/>
                <w:color w:val="333333"/>
                <w:kern w:val="0"/>
                <w:sz w:val="18"/>
                <w:szCs w:val="18"/>
                <w:u w:val="none"/>
                <w:lang w:val="en-US" w:eastAsia="zh-CN" w:bidi="ar"/>
              </w:rPr>
            </w:pPr>
            <w:r>
              <w:rPr>
                <w:rFonts w:hint="eastAsia" w:ascii="等线" w:hAnsi="等线" w:eastAsia="等线" w:cs="等线"/>
                <w:b w:val="0"/>
                <w:bCs w:val="0"/>
                <w:i w:val="0"/>
                <w:iCs w:val="0"/>
                <w:color w:val="333333"/>
                <w:kern w:val="0"/>
                <w:sz w:val="18"/>
                <w:szCs w:val="18"/>
                <w:u w:val="none"/>
                <w:lang w:val="en-US" w:eastAsia="zh-CN" w:bidi="ar"/>
              </w:rPr>
              <w:t xml:space="preserve">100.00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等线" w:hAnsi="等线" w:eastAsia="等线" w:cs="等线"/>
                <w:b w:val="0"/>
                <w:bCs w:val="0"/>
                <w:i w:val="0"/>
                <w:iCs w:val="0"/>
                <w:color w:val="333333"/>
                <w:kern w:val="0"/>
                <w:sz w:val="18"/>
                <w:szCs w:val="18"/>
                <w:u w:val="none"/>
                <w:lang w:val="en-US" w:eastAsia="zh-CN" w:bidi="ar"/>
              </w:rPr>
            </w:pPr>
            <w:r>
              <w:rPr>
                <w:rFonts w:hint="eastAsia" w:ascii="等线" w:hAnsi="等线" w:eastAsia="等线" w:cs="等线"/>
                <w:b w:val="0"/>
                <w:bCs w:val="0"/>
                <w:i w:val="0"/>
                <w:iCs w:val="0"/>
                <w:color w:val="333333"/>
                <w:kern w:val="0"/>
                <w:sz w:val="18"/>
                <w:szCs w:val="18"/>
                <w:u w:val="none"/>
                <w:lang w:val="en-US" w:eastAsia="zh-CN" w:bidi="ar"/>
              </w:rPr>
              <w:t xml:space="preserve">99.99 </w:t>
            </w:r>
          </w:p>
        </w:tc>
        <w:tc>
          <w:tcPr>
            <w:tcW w:w="840"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等线" w:hAnsi="等线" w:eastAsia="等线" w:cs="等线"/>
                <w:b w:val="0"/>
                <w:bCs w:val="0"/>
                <w:i w:val="0"/>
                <w:iCs w:val="0"/>
                <w:color w:val="333333"/>
                <w:kern w:val="0"/>
                <w:sz w:val="18"/>
                <w:szCs w:val="18"/>
                <w:u w:val="none"/>
                <w:lang w:val="en-US" w:eastAsia="zh-CN" w:bidi="ar"/>
              </w:rPr>
            </w:pPr>
            <w:r>
              <w:rPr>
                <w:rFonts w:hint="eastAsia" w:ascii="等线" w:hAnsi="等线" w:eastAsia="等线" w:cs="等线"/>
                <w:b w:val="0"/>
                <w:bCs w:val="0"/>
                <w:i w:val="0"/>
                <w:iCs w:val="0"/>
                <w:color w:val="333333"/>
                <w:kern w:val="0"/>
                <w:sz w:val="18"/>
                <w:szCs w:val="18"/>
                <w:u w:val="none"/>
                <w:lang w:val="en-US" w:eastAsia="zh-CN" w:bidi="ar"/>
              </w:rPr>
              <w:t>—</w:t>
            </w:r>
          </w:p>
        </w:tc>
      </w:tr>
    </w:tbl>
    <w:p>
      <w:pPr>
        <w:keepNext w:val="0"/>
        <w:keepLines w:val="0"/>
        <w:widowControl/>
        <w:suppressLineNumbers w:val="0"/>
        <w:jc w:val="center"/>
        <w:textAlignment w:val="center"/>
        <w:rPr>
          <w:rFonts w:hint="default" w:ascii="等线" w:hAnsi="等线" w:eastAsia="等线" w:cs="等线"/>
          <w:b/>
          <w:bCs/>
          <w:i w:val="0"/>
          <w:iCs w:val="0"/>
          <w:color w:val="000000"/>
          <w:kern w:val="0"/>
          <w:sz w:val="40"/>
          <w:szCs w:val="40"/>
          <w:u w:val="none"/>
          <w:bdr w:val="none" w:color="auto" w:sz="0" w:space="0"/>
          <w:lang w:val="en-US" w:eastAsia="zh-CN" w:bidi="ar"/>
        </w:rPr>
      </w:pPr>
    </w:p>
    <w:p>
      <w:pPr>
        <w:keepNext w:val="0"/>
        <w:keepLines w:val="0"/>
        <w:widowControl/>
        <w:suppressLineNumbers w:val="0"/>
        <w:jc w:val="center"/>
        <w:textAlignment w:val="center"/>
        <w:rPr>
          <w:rFonts w:hint="default" w:ascii="等线" w:hAnsi="等线" w:eastAsia="等线" w:cs="等线"/>
          <w:b/>
          <w:bCs/>
          <w:i w:val="0"/>
          <w:iCs w:val="0"/>
          <w:color w:val="000000"/>
          <w:kern w:val="0"/>
          <w:sz w:val="40"/>
          <w:szCs w:val="40"/>
          <w:u w:val="none"/>
          <w:bdr w:val="none" w:color="auto" w:sz="0" w:space="0"/>
          <w:lang w:val="en-US" w:eastAsia="zh-CN" w:bidi="ar"/>
        </w:rPr>
      </w:pPr>
    </w:p>
    <w:p>
      <w:pPr>
        <w:keepNext w:val="0"/>
        <w:keepLines w:val="0"/>
        <w:widowControl/>
        <w:suppressLineNumbers w:val="0"/>
        <w:jc w:val="center"/>
        <w:textAlignment w:val="center"/>
        <w:rPr>
          <w:rFonts w:hint="default" w:ascii="等线" w:hAnsi="等线" w:eastAsia="等线" w:cs="等线"/>
          <w:b/>
          <w:bCs/>
          <w:i w:val="0"/>
          <w:iCs w:val="0"/>
          <w:color w:val="000000"/>
          <w:kern w:val="0"/>
          <w:sz w:val="40"/>
          <w:szCs w:val="40"/>
          <w:u w:val="none"/>
          <w:bdr w:val="none" w:color="auto" w:sz="0" w:space="0"/>
          <w:lang w:val="en-US" w:eastAsia="zh-CN" w:bidi="ar"/>
        </w:rPr>
      </w:pPr>
    </w:p>
    <w:p>
      <w:pPr>
        <w:keepNext w:val="0"/>
        <w:keepLines w:val="0"/>
        <w:widowControl/>
        <w:suppressLineNumbers w:val="0"/>
        <w:jc w:val="center"/>
        <w:textAlignment w:val="center"/>
        <w:rPr>
          <w:rFonts w:hint="default" w:ascii="等线" w:hAnsi="等线" w:eastAsia="等线" w:cs="等线"/>
          <w:b/>
          <w:bCs/>
          <w:i w:val="0"/>
          <w:iCs w:val="0"/>
          <w:color w:val="000000"/>
          <w:kern w:val="0"/>
          <w:sz w:val="40"/>
          <w:szCs w:val="40"/>
          <w:u w:val="none"/>
          <w:bdr w:val="none" w:color="auto" w:sz="0" w:space="0"/>
          <w:lang w:val="en-US" w:eastAsia="zh-CN" w:bidi="ar"/>
        </w:rPr>
      </w:pPr>
    </w:p>
    <w:p>
      <w:pPr>
        <w:keepNext w:val="0"/>
        <w:keepLines w:val="0"/>
        <w:widowControl/>
        <w:suppressLineNumbers w:val="0"/>
        <w:jc w:val="both"/>
        <w:textAlignment w:val="center"/>
        <w:rPr>
          <w:rFonts w:hint="default" w:ascii="等线" w:hAnsi="等线" w:eastAsia="等线" w:cs="等线"/>
          <w:b/>
          <w:bCs/>
          <w:i w:val="0"/>
          <w:iCs w:val="0"/>
          <w:color w:val="000000"/>
          <w:kern w:val="0"/>
          <w:sz w:val="40"/>
          <w:szCs w:val="40"/>
          <w:u w:val="none"/>
          <w:bdr w:val="none" w:color="auto" w:sz="0" w:space="0"/>
          <w:lang w:val="en-US" w:eastAsia="zh-CN" w:bidi="ar"/>
        </w:rPr>
      </w:pPr>
    </w:p>
    <w:tbl>
      <w:tblPr>
        <w:tblW w:w="103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056"/>
        <w:gridCol w:w="1001"/>
        <w:gridCol w:w="1470"/>
        <w:gridCol w:w="1579"/>
        <w:gridCol w:w="1167"/>
        <w:gridCol w:w="1515"/>
        <w:gridCol w:w="1014"/>
        <w:gridCol w:w="850"/>
        <w:gridCol w:w="6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10335" w:type="dxa"/>
            <w:gridSpan w:val="9"/>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等线" w:hAnsi="等线" w:eastAsia="等线" w:cs="等线"/>
                <w:b/>
                <w:bCs/>
                <w:i w:val="0"/>
                <w:iCs w:val="0"/>
                <w:color w:val="000000"/>
                <w:sz w:val="40"/>
                <w:szCs w:val="40"/>
                <w:u w:val="none"/>
              </w:rPr>
            </w:pPr>
            <w:r>
              <w:rPr>
                <w:rFonts w:hint="default" w:ascii="等线" w:hAnsi="等线" w:eastAsia="等线" w:cs="等线"/>
                <w:b/>
                <w:bCs/>
                <w:i w:val="0"/>
                <w:iCs w:val="0"/>
                <w:color w:val="000000"/>
                <w:kern w:val="0"/>
                <w:sz w:val="28"/>
                <w:szCs w:val="28"/>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40" w:hRule="atLeast"/>
        </w:trPr>
        <w:tc>
          <w:tcPr>
            <w:tcW w:w="1056"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项目编码：</w:t>
            </w:r>
          </w:p>
        </w:tc>
        <w:tc>
          <w:tcPr>
            <w:tcW w:w="2471"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440309210901500006144</w:t>
            </w:r>
          </w:p>
        </w:tc>
        <w:tc>
          <w:tcPr>
            <w:tcW w:w="1579"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项目名称：</w:t>
            </w:r>
          </w:p>
        </w:tc>
        <w:tc>
          <w:tcPr>
            <w:tcW w:w="11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党建及机关队伍建设（工青妇经费）</w:t>
            </w:r>
          </w:p>
        </w:tc>
        <w:tc>
          <w:tcPr>
            <w:tcW w:w="151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绩效自评年度：</w:t>
            </w:r>
          </w:p>
        </w:tc>
        <w:tc>
          <w:tcPr>
            <w:tcW w:w="2547" w:type="dxa"/>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2022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580" w:hRule="atLeast"/>
        </w:trPr>
        <w:tc>
          <w:tcPr>
            <w:tcW w:w="1056"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实施单位：</w:t>
            </w:r>
          </w:p>
        </w:tc>
        <w:tc>
          <w:tcPr>
            <w:tcW w:w="2471" w:type="dxa"/>
            <w:gridSpan w:val="2"/>
            <w:tcBorders>
              <w:top w:val="single" w:color="000000" w:sz="4" w:space="0"/>
              <w:left w:val="single" w:color="000000" w:sz="4" w:space="0"/>
              <w:bottom w:val="single" w:color="000000" w:sz="4" w:space="0"/>
              <w:right w:val="nil"/>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深圳市龙华区政务服务数据管理局</w:t>
            </w:r>
          </w:p>
        </w:tc>
        <w:tc>
          <w:tcPr>
            <w:tcW w:w="1579"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一级预算单位：</w:t>
            </w:r>
          </w:p>
        </w:tc>
        <w:tc>
          <w:tcPr>
            <w:tcW w:w="5229" w:type="dxa"/>
            <w:gridSpan w:val="5"/>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深圳市龙华区政务服务数据管理局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40" w:hRule="atLeast"/>
        </w:trPr>
        <w:tc>
          <w:tcPr>
            <w:tcW w:w="10335" w:type="dxa"/>
            <w:gridSpan w:val="9"/>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资金使用情况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056"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001"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47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年初预算数</w:t>
            </w:r>
          </w:p>
        </w:tc>
        <w:tc>
          <w:tcPr>
            <w:tcW w:w="1579"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全年预算数</w:t>
            </w:r>
          </w:p>
        </w:tc>
        <w:tc>
          <w:tcPr>
            <w:tcW w:w="1167"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全年执行数</w:t>
            </w:r>
          </w:p>
        </w:tc>
        <w:tc>
          <w:tcPr>
            <w:tcW w:w="151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分值</w:t>
            </w:r>
          </w:p>
        </w:tc>
        <w:tc>
          <w:tcPr>
            <w:tcW w:w="1014"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执行率（%）</w:t>
            </w:r>
          </w:p>
        </w:tc>
        <w:tc>
          <w:tcPr>
            <w:tcW w:w="1533" w:type="dxa"/>
            <w:gridSpan w:val="2"/>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056" w:type="dxa"/>
            <w:vMerge w:val="restart"/>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项目资金（元）</w:t>
            </w:r>
          </w:p>
        </w:tc>
        <w:tc>
          <w:tcPr>
            <w:tcW w:w="1001"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年度资金总额</w:t>
            </w:r>
          </w:p>
        </w:tc>
        <w:tc>
          <w:tcPr>
            <w:tcW w:w="14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1000000.00</w:t>
            </w:r>
          </w:p>
        </w:tc>
        <w:tc>
          <w:tcPr>
            <w:tcW w:w="15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1231000.00</w:t>
            </w:r>
          </w:p>
        </w:tc>
        <w:tc>
          <w:tcPr>
            <w:tcW w:w="11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1214730.39</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10</w:t>
            </w:r>
          </w:p>
        </w:tc>
        <w:tc>
          <w:tcPr>
            <w:tcW w:w="10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98.68</w:t>
            </w:r>
          </w:p>
        </w:tc>
        <w:tc>
          <w:tcPr>
            <w:tcW w:w="1533"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9.87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001"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其中：当年财政拨款</w:t>
            </w:r>
          </w:p>
        </w:tc>
        <w:tc>
          <w:tcPr>
            <w:tcW w:w="14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1000000.00</w:t>
            </w:r>
          </w:p>
        </w:tc>
        <w:tc>
          <w:tcPr>
            <w:tcW w:w="15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1231000.00</w:t>
            </w:r>
          </w:p>
        </w:tc>
        <w:tc>
          <w:tcPr>
            <w:tcW w:w="11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1214730.39</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0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533"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001"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上年结转资金</w:t>
            </w:r>
          </w:p>
        </w:tc>
        <w:tc>
          <w:tcPr>
            <w:tcW w:w="147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57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1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0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533"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001" w:type="dxa"/>
            <w:tcBorders>
              <w:top w:val="single" w:color="000000" w:sz="4" w:space="0"/>
              <w:left w:val="single" w:color="000000" w:sz="4" w:space="0"/>
              <w:bottom w:val="nil"/>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其他资金</w:t>
            </w:r>
          </w:p>
        </w:tc>
        <w:tc>
          <w:tcPr>
            <w:tcW w:w="1470"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579"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167"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515"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014"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533" w:type="dxa"/>
            <w:gridSpan w:val="2"/>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0335" w:type="dxa"/>
            <w:gridSpan w:val="9"/>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项目目标完成情况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056" w:type="dxa"/>
            <w:vMerge w:val="restart"/>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年度总体目标</w:t>
            </w:r>
          </w:p>
        </w:tc>
        <w:tc>
          <w:tcPr>
            <w:tcW w:w="5217" w:type="dxa"/>
            <w:gridSpan w:val="4"/>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预期目标</w:t>
            </w:r>
          </w:p>
        </w:tc>
        <w:tc>
          <w:tcPr>
            <w:tcW w:w="4062" w:type="dxa"/>
            <w:gridSpan w:val="4"/>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640" w:hRule="atLeast"/>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5217" w:type="dxa"/>
            <w:gridSpan w:val="4"/>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保障全年工会会员福利及权益，保障文体活动及党建活动正常开展，努力实现机关党建精细化管理，特色化发展，规范化运行。</w:t>
            </w:r>
          </w:p>
        </w:tc>
        <w:tc>
          <w:tcPr>
            <w:tcW w:w="4062" w:type="dxa"/>
            <w:gridSpan w:val="4"/>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区政务服务数据管理局党总支在区委的正确领导下，在区直机关工委的关心指导下，一是切实保障全年工会会员福利及权益，在春节、端午节、中秋节3个节日为全体工会会员购买慰问品约计31.7万元；二是保障党建等活动正常开展，为职工购买学习书籍等。提升了工会会员工作、生活幸福感，并努力实现了机关党建精细化管理、特色化发展、规范化运行，更好地发动党组织及党员干部走前头、作表率，以落实全面从严治党为主线，主动适应新常态，完善我局工青妇队伍建设，推动上级党组织决策部署在机关落地见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60" w:hRule="atLeast"/>
        </w:trPr>
        <w:tc>
          <w:tcPr>
            <w:tcW w:w="1056" w:type="dxa"/>
            <w:vMerge w:val="restart"/>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年度绩效指标</w:t>
            </w:r>
          </w:p>
        </w:tc>
        <w:tc>
          <w:tcPr>
            <w:tcW w:w="1001"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一级指标</w:t>
            </w:r>
          </w:p>
        </w:tc>
        <w:tc>
          <w:tcPr>
            <w:tcW w:w="147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二级指标</w:t>
            </w:r>
          </w:p>
        </w:tc>
        <w:tc>
          <w:tcPr>
            <w:tcW w:w="1579"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三级指标</w:t>
            </w:r>
          </w:p>
        </w:tc>
        <w:tc>
          <w:tcPr>
            <w:tcW w:w="1167"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年度指标值</w:t>
            </w:r>
          </w:p>
        </w:tc>
        <w:tc>
          <w:tcPr>
            <w:tcW w:w="1515"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实际完成值</w:t>
            </w:r>
          </w:p>
        </w:tc>
        <w:tc>
          <w:tcPr>
            <w:tcW w:w="1014"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分值</w:t>
            </w:r>
          </w:p>
        </w:tc>
        <w:tc>
          <w:tcPr>
            <w:tcW w:w="85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得分</w:t>
            </w:r>
          </w:p>
        </w:tc>
        <w:tc>
          <w:tcPr>
            <w:tcW w:w="683"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001" w:type="dxa"/>
            <w:vMerge w:val="restart"/>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产出</w:t>
            </w:r>
            <w:r>
              <w:rPr>
                <w:rFonts w:hint="default" w:ascii="等线" w:hAnsi="等线" w:eastAsia="等线" w:cs="等线"/>
                <w:b w:val="0"/>
                <w:bCs w:val="0"/>
                <w:i w:val="0"/>
                <w:iCs w:val="0"/>
                <w:color w:val="333333"/>
                <w:kern w:val="0"/>
                <w:sz w:val="18"/>
                <w:szCs w:val="18"/>
                <w:u w:val="none"/>
                <w:lang w:val="en-US" w:eastAsia="zh-CN" w:bidi="ar"/>
              </w:rPr>
              <w:br w:type="textWrapping"/>
            </w:r>
            <w:r>
              <w:rPr>
                <w:rFonts w:hint="default" w:ascii="等线" w:hAnsi="等线" w:eastAsia="等线" w:cs="等线"/>
                <w:b w:val="0"/>
                <w:bCs w:val="0"/>
                <w:i w:val="0"/>
                <w:iCs w:val="0"/>
                <w:color w:val="333333"/>
                <w:kern w:val="0"/>
                <w:sz w:val="18"/>
                <w:szCs w:val="18"/>
                <w:u w:val="none"/>
                <w:lang w:val="en-US" w:eastAsia="zh-CN" w:bidi="ar"/>
              </w:rPr>
              <w:t>(50分)</w:t>
            </w:r>
          </w:p>
        </w:tc>
        <w:tc>
          <w:tcPr>
            <w:tcW w:w="147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数量</w:t>
            </w:r>
          </w:p>
        </w:tc>
        <w:tc>
          <w:tcPr>
            <w:tcW w:w="1579"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享受工会福利的职工范围</w:t>
            </w:r>
          </w:p>
        </w:tc>
        <w:tc>
          <w:tcPr>
            <w:tcW w:w="1167"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全体职工</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全体职工</w:t>
            </w:r>
          </w:p>
        </w:tc>
        <w:tc>
          <w:tcPr>
            <w:tcW w:w="10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12.50 </w:t>
            </w:r>
          </w:p>
        </w:tc>
        <w:tc>
          <w:tcPr>
            <w:tcW w:w="8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12.50 </w:t>
            </w:r>
          </w:p>
        </w:tc>
        <w:tc>
          <w:tcPr>
            <w:tcW w:w="6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60" w:hRule="atLeast"/>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001"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47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质量</w:t>
            </w:r>
          </w:p>
        </w:tc>
        <w:tc>
          <w:tcPr>
            <w:tcW w:w="1579"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货物类未出现包装破损、过保及质量等问题；服务类项目服务内容和质量符合要</w:t>
            </w:r>
          </w:p>
        </w:tc>
        <w:tc>
          <w:tcPr>
            <w:tcW w:w="1167"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验收合格</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验收合格</w:t>
            </w:r>
          </w:p>
        </w:tc>
        <w:tc>
          <w:tcPr>
            <w:tcW w:w="10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12.50 </w:t>
            </w:r>
          </w:p>
        </w:tc>
        <w:tc>
          <w:tcPr>
            <w:tcW w:w="8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12.50 </w:t>
            </w:r>
          </w:p>
        </w:tc>
        <w:tc>
          <w:tcPr>
            <w:tcW w:w="6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i w:val="0"/>
                <w:iCs w:val="0"/>
                <w:color w:val="000000"/>
                <w:sz w:val="18"/>
                <w:szCs w:val="18"/>
                <w:u w:val="none"/>
              </w:rPr>
            </w:pPr>
          </w:p>
        </w:tc>
        <w:tc>
          <w:tcPr>
            <w:tcW w:w="1001"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b w:val="0"/>
                <w:bCs w:val="0"/>
                <w:i w:val="0"/>
                <w:iCs w:val="0"/>
                <w:color w:val="000000"/>
                <w:sz w:val="18"/>
                <w:szCs w:val="18"/>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时效</w:t>
            </w:r>
          </w:p>
        </w:tc>
        <w:tc>
          <w:tcPr>
            <w:tcW w:w="1579"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货品配送和服务项目完成的及时率</w:t>
            </w:r>
          </w:p>
        </w:tc>
        <w:tc>
          <w:tcPr>
            <w:tcW w:w="1167"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100%</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100%</w:t>
            </w:r>
          </w:p>
        </w:tc>
        <w:tc>
          <w:tcPr>
            <w:tcW w:w="10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 xml:space="preserve">12.50 </w:t>
            </w:r>
          </w:p>
        </w:tc>
        <w:tc>
          <w:tcPr>
            <w:tcW w:w="8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 xml:space="preserve">12.50 </w:t>
            </w:r>
          </w:p>
        </w:tc>
        <w:tc>
          <w:tcPr>
            <w:tcW w:w="6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b/>
                <w:bCs/>
                <w:i w:val="0"/>
                <w:iCs w:val="0"/>
                <w:color w:val="333333"/>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i w:val="0"/>
                <w:iCs w:val="0"/>
                <w:color w:val="000000"/>
                <w:sz w:val="18"/>
                <w:szCs w:val="18"/>
                <w:u w:val="none"/>
              </w:rPr>
            </w:pPr>
          </w:p>
        </w:tc>
        <w:tc>
          <w:tcPr>
            <w:tcW w:w="1001"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b w:val="0"/>
                <w:bCs w:val="0"/>
                <w:i w:val="0"/>
                <w:iCs w:val="0"/>
                <w:color w:val="000000"/>
                <w:sz w:val="18"/>
                <w:szCs w:val="18"/>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成本</w:t>
            </w:r>
          </w:p>
        </w:tc>
        <w:tc>
          <w:tcPr>
            <w:tcW w:w="1579"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工会节日慰问费用</w:t>
            </w:r>
          </w:p>
        </w:tc>
        <w:tc>
          <w:tcPr>
            <w:tcW w:w="1167"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≤32万元</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31.66609万元</w:t>
            </w:r>
          </w:p>
        </w:tc>
        <w:tc>
          <w:tcPr>
            <w:tcW w:w="10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 xml:space="preserve">12.50 </w:t>
            </w:r>
          </w:p>
        </w:tc>
        <w:tc>
          <w:tcPr>
            <w:tcW w:w="8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 xml:space="preserve">12.50 </w:t>
            </w:r>
          </w:p>
        </w:tc>
        <w:tc>
          <w:tcPr>
            <w:tcW w:w="6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b/>
                <w:bCs/>
                <w:i w:val="0"/>
                <w:iCs w:val="0"/>
                <w:color w:val="333333"/>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i w:val="0"/>
                <w:iCs w:val="0"/>
                <w:color w:val="000000"/>
                <w:sz w:val="18"/>
                <w:szCs w:val="18"/>
                <w:u w:val="none"/>
              </w:rPr>
            </w:pPr>
          </w:p>
        </w:tc>
        <w:tc>
          <w:tcPr>
            <w:tcW w:w="1001" w:type="dxa"/>
            <w:vMerge w:val="restart"/>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000000"/>
                <w:sz w:val="18"/>
                <w:szCs w:val="18"/>
                <w:u w:val="none"/>
              </w:rPr>
            </w:pPr>
            <w:r>
              <w:rPr>
                <w:rFonts w:hint="default" w:ascii="等线" w:hAnsi="等线" w:eastAsia="等线" w:cs="等线"/>
                <w:b w:val="0"/>
                <w:bCs w:val="0"/>
                <w:i w:val="0"/>
                <w:iCs w:val="0"/>
                <w:color w:val="000000"/>
                <w:kern w:val="0"/>
                <w:sz w:val="18"/>
                <w:szCs w:val="18"/>
                <w:u w:val="none"/>
                <w:bdr w:val="none" w:color="auto" w:sz="0" w:space="0"/>
                <w:lang w:val="en-US" w:eastAsia="zh-CN" w:bidi="ar"/>
              </w:rPr>
              <w:t>效益</w:t>
            </w:r>
            <w:r>
              <w:rPr>
                <w:rFonts w:hint="default" w:ascii="等线" w:hAnsi="等线" w:eastAsia="等线" w:cs="等线"/>
                <w:b w:val="0"/>
                <w:bCs w:val="0"/>
                <w:i w:val="0"/>
                <w:iCs w:val="0"/>
                <w:color w:val="000000"/>
                <w:kern w:val="0"/>
                <w:sz w:val="18"/>
                <w:szCs w:val="18"/>
                <w:u w:val="none"/>
                <w:bdr w:val="none" w:color="auto" w:sz="0" w:space="0"/>
                <w:lang w:val="en-US" w:eastAsia="zh-CN" w:bidi="ar"/>
              </w:rPr>
              <w:br w:type="textWrapping"/>
            </w:r>
            <w:r>
              <w:rPr>
                <w:rFonts w:hint="default" w:ascii="等线" w:hAnsi="等线" w:eastAsia="等线" w:cs="等线"/>
                <w:b w:val="0"/>
                <w:bCs w:val="0"/>
                <w:i w:val="0"/>
                <w:iCs w:val="0"/>
                <w:color w:val="000000"/>
                <w:kern w:val="0"/>
                <w:sz w:val="18"/>
                <w:szCs w:val="18"/>
                <w:u w:val="none"/>
                <w:bdr w:val="none" w:color="auto" w:sz="0" w:space="0"/>
                <w:lang w:val="en-US" w:eastAsia="zh-CN" w:bidi="ar"/>
              </w:rPr>
              <w:t>(30分)</w:t>
            </w:r>
          </w:p>
        </w:tc>
        <w:tc>
          <w:tcPr>
            <w:tcW w:w="147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经济效益</w:t>
            </w:r>
          </w:p>
        </w:tc>
        <w:tc>
          <w:tcPr>
            <w:tcW w:w="1579"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不适用</w:t>
            </w:r>
          </w:p>
        </w:tc>
        <w:tc>
          <w:tcPr>
            <w:tcW w:w="1167"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不适用</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不适用</w:t>
            </w:r>
          </w:p>
        </w:tc>
        <w:tc>
          <w:tcPr>
            <w:tcW w:w="10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0</w:t>
            </w:r>
          </w:p>
        </w:tc>
        <w:tc>
          <w:tcPr>
            <w:tcW w:w="8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0</w:t>
            </w:r>
          </w:p>
        </w:tc>
        <w:tc>
          <w:tcPr>
            <w:tcW w:w="6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b/>
                <w:bCs/>
                <w:i w:val="0"/>
                <w:iCs w:val="0"/>
                <w:color w:val="333333"/>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60" w:hRule="atLeast"/>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i w:val="0"/>
                <w:iCs w:val="0"/>
                <w:color w:val="000000"/>
                <w:sz w:val="18"/>
                <w:szCs w:val="18"/>
                <w:u w:val="none"/>
              </w:rPr>
            </w:pPr>
          </w:p>
        </w:tc>
        <w:tc>
          <w:tcPr>
            <w:tcW w:w="1001"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b w:val="0"/>
                <w:bCs w:val="0"/>
                <w:i w:val="0"/>
                <w:iCs w:val="0"/>
                <w:color w:val="000000"/>
                <w:sz w:val="18"/>
                <w:szCs w:val="18"/>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社会效益</w:t>
            </w:r>
          </w:p>
        </w:tc>
        <w:tc>
          <w:tcPr>
            <w:tcW w:w="1579"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工会成员工作、生活幸福感</w:t>
            </w:r>
          </w:p>
        </w:tc>
        <w:tc>
          <w:tcPr>
            <w:tcW w:w="1167"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有所提高</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工会成员工作、生活幸福感有所提高,100%完成目标</w:t>
            </w:r>
          </w:p>
        </w:tc>
        <w:tc>
          <w:tcPr>
            <w:tcW w:w="10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 xml:space="preserve">30.00 </w:t>
            </w:r>
          </w:p>
        </w:tc>
        <w:tc>
          <w:tcPr>
            <w:tcW w:w="8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 xml:space="preserve">30.00 </w:t>
            </w:r>
          </w:p>
        </w:tc>
        <w:tc>
          <w:tcPr>
            <w:tcW w:w="6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b/>
                <w:bCs/>
                <w:i w:val="0"/>
                <w:iCs w:val="0"/>
                <w:color w:val="333333"/>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i w:val="0"/>
                <w:iCs w:val="0"/>
                <w:color w:val="000000"/>
                <w:sz w:val="18"/>
                <w:szCs w:val="18"/>
                <w:u w:val="none"/>
              </w:rPr>
            </w:pPr>
          </w:p>
        </w:tc>
        <w:tc>
          <w:tcPr>
            <w:tcW w:w="1001"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b w:val="0"/>
                <w:bCs w:val="0"/>
                <w:i w:val="0"/>
                <w:iCs w:val="0"/>
                <w:color w:val="000000"/>
                <w:sz w:val="18"/>
                <w:szCs w:val="18"/>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生态效益</w:t>
            </w:r>
          </w:p>
        </w:tc>
        <w:tc>
          <w:tcPr>
            <w:tcW w:w="1579"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不适用</w:t>
            </w:r>
          </w:p>
        </w:tc>
        <w:tc>
          <w:tcPr>
            <w:tcW w:w="1167"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不适用</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不适用</w:t>
            </w:r>
          </w:p>
        </w:tc>
        <w:tc>
          <w:tcPr>
            <w:tcW w:w="10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0</w:t>
            </w:r>
          </w:p>
        </w:tc>
        <w:tc>
          <w:tcPr>
            <w:tcW w:w="8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0</w:t>
            </w:r>
          </w:p>
        </w:tc>
        <w:tc>
          <w:tcPr>
            <w:tcW w:w="6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b/>
                <w:bCs/>
                <w:i w:val="0"/>
                <w:iCs w:val="0"/>
                <w:color w:val="333333"/>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i w:val="0"/>
                <w:iCs w:val="0"/>
                <w:color w:val="000000"/>
                <w:sz w:val="18"/>
                <w:szCs w:val="18"/>
                <w:u w:val="none"/>
              </w:rPr>
            </w:pPr>
          </w:p>
        </w:tc>
        <w:tc>
          <w:tcPr>
            <w:tcW w:w="1001"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b w:val="0"/>
                <w:bCs w:val="0"/>
                <w:i w:val="0"/>
                <w:iCs w:val="0"/>
                <w:color w:val="000000"/>
                <w:sz w:val="18"/>
                <w:szCs w:val="18"/>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可持续影响</w:t>
            </w:r>
          </w:p>
        </w:tc>
        <w:tc>
          <w:tcPr>
            <w:tcW w:w="1579"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不适用</w:t>
            </w:r>
          </w:p>
        </w:tc>
        <w:tc>
          <w:tcPr>
            <w:tcW w:w="1167"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不适用</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不适用</w:t>
            </w:r>
          </w:p>
        </w:tc>
        <w:tc>
          <w:tcPr>
            <w:tcW w:w="10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0</w:t>
            </w:r>
          </w:p>
        </w:tc>
        <w:tc>
          <w:tcPr>
            <w:tcW w:w="8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0</w:t>
            </w:r>
          </w:p>
        </w:tc>
        <w:tc>
          <w:tcPr>
            <w:tcW w:w="6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b/>
                <w:bCs/>
                <w:i w:val="0"/>
                <w:iCs w:val="0"/>
                <w:color w:val="333333"/>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i w:val="0"/>
                <w:iCs w:val="0"/>
                <w:color w:val="000000"/>
                <w:sz w:val="18"/>
                <w:szCs w:val="18"/>
                <w:u w:val="none"/>
              </w:rPr>
            </w:pPr>
          </w:p>
        </w:tc>
        <w:tc>
          <w:tcPr>
            <w:tcW w:w="1001" w:type="dxa"/>
            <w:vMerge w:val="restart"/>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000000"/>
                <w:sz w:val="18"/>
                <w:szCs w:val="18"/>
                <w:u w:val="none"/>
              </w:rPr>
            </w:pPr>
            <w:r>
              <w:rPr>
                <w:rFonts w:hint="default" w:ascii="等线" w:hAnsi="等线" w:eastAsia="等线" w:cs="等线"/>
                <w:b w:val="0"/>
                <w:bCs w:val="0"/>
                <w:i w:val="0"/>
                <w:iCs w:val="0"/>
                <w:color w:val="000000"/>
                <w:kern w:val="0"/>
                <w:sz w:val="18"/>
                <w:szCs w:val="18"/>
                <w:u w:val="none"/>
                <w:bdr w:val="none" w:color="auto" w:sz="0" w:space="0"/>
                <w:lang w:val="en-US" w:eastAsia="zh-CN" w:bidi="ar"/>
              </w:rPr>
              <w:t>满意度</w:t>
            </w:r>
            <w:r>
              <w:rPr>
                <w:rFonts w:hint="default" w:ascii="等线" w:hAnsi="等线" w:eastAsia="等线" w:cs="等线"/>
                <w:b w:val="0"/>
                <w:bCs w:val="0"/>
                <w:i w:val="0"/>
                <w:iCs w:val="0"/>
                <w:color w:val="000000"/>
                <w:kern w:val="0"/>
                <w:sz w:val="18"/>
                <w:szCs w:val="18"/>
                <w:u w:val="none"/>
                <w:bdr w:val="none" w:color="auto" w:sz="0" w:space="0"/>
                <w:lang w:val="en-US" w:eastAsia="zh-CN" w:bidi="ar"/>
              </w:rPr>
              <w:br w:type="textWrapping"/>
            </w:r>
            <w:r>
              <w:rPr>
                <w:rFonts w:hint="default" w:ascii="等线" w:hAnsi="等线" w:eastAsia="等线" w:cs="等线"/>
                <w:b w:val="0"/>
                <w:bCs w:val="0"/>
                <w:i w:val="0"/>
                <w:iCs w:val="0"/>
                <w:color w:val="000000"/>
                <w:kern w:val="0"/>
                <w:sz w:val="18"/>
                <w:szCs w:val="18"/>
                <w:u w:val="none"/>
                <w:bdr w:val="none" w:color="auto" w:sz="0" w:space="0"/>
                <w:lang w:val="en-US" w:eastAsia="zh-CN" w:bidi="ar"/>
              </w:rPr>
              <w:t>(10分)</w:t>
            </w:r>
          </w:p>
        </w:tc>
        <w:tc>
          <w:tcPr>
            <w:tcW w:w="147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服务对象满意度</w:t>
            </w:r>
          </w:p>
        </w:tc>
        <w:tc>
          <w:tcPr>
            <w:tcW w:w="1579"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工会会员满意度指标</w:t>
            </w:r>
          </w:p>
        </w:tc>
        <w:tc>
          <w:tcPr>
            <w:tcW w:w="1167"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100%</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100%</w:t>
            </w:r>
          </w:p>
        </w:tc>
        <w:tc>
          <w:tcPr>
            <w:tcW w:w="10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 xml:space="preserve">10.00 </w:t>
            </w:r>
          </w:p>
        </w:tc>
        <w:tc>
          <w:tcPr>
            <w:tcW w:w="8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 xml:space="preserve">10.00 </w:t>
            </w:r>
          </w:p>
        </w:tc>
        <w:tc>
          <w:tcPr>
            <w:tcW w:w="6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b/>
                <w:bCs/>
                <w:i w:val="0"/>
                <w:iCs w:val="0"/>
                <w:color w:val="333333"/>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i w:val="0"/>
                <w:iCs w:val="0"/>
                <w:color w:val="000000"/>
                <w:sz w:val="18"/>
                <w:szCs w:val="18"/>
                <w:u w:val="none"/>
              </w:rPr>
            </w:pPr>
          </w:p>
        </w:tc>
        <w:tc>
          <w:tcPr>
            <w:tcW w:w="1001" w:type="dxa"/>
            <w:vMerge w:val="continue"/>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b w:val="0"/>
                <w:bCs w:val="0"/>
                <w:i w:val="0"/>
                <w:iCs w:val="0"/>
                <w:color w:val="000000"/>
                <w:sz w:val="18"/>
                <w:szCs w:val="18"/>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其他满意度</w:t>
            </w:r>
          </w:p>
        </w:tc>
        <w:tc>
          <w:tcPr>
            <w:tcW w:w="1579"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无</w:t>
            </w:r>
          </w:p>
        </w:tc>
        <w:tc>
          <w:tcPr>
            <w:tcW w:w="1167"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无</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无</w:t>
            </w:r>
          </w:p>
        </w:tc>
        <w:tc>
          <w:tcPr>
            <w:tcW w:w="10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0</w:t>
            </w:r>
          </w:p>
        </w:tc>
        <w:tc>
          <w:tcPr>
            <w:tcW w:w="8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sz w:val="18"/>
                <w:szCs w:val="18"/>
                <w:u w:val="none"/>
              </w:rPr>
            </w:pPr>
            <w:r>
              <w:rPr>
                <w:rFonts w:hint="default" w:ascii="等线" w:hAnsi="等线" w:eastAsia="等线" w:cs="等线"/>
                <w:b w:val="0"/>
                <w:bCs w:val="0"/>
                <w:i w:val="0"/>
                <w:iCs w:val="0"/>
                <w:color w:val="333333"/>
                <w:kern w:val="0"/>
                <w:sz w:val="18"/>
                <w:szCs w:val="18"/>
                <w:u w:val="none"/>
                <w:bdr w:val="none" w:color="auto" w:sz="0" w:space="0"/>
                <w:lang w:val="en-US" w:eastAsia="zh-CN" w:bidi="ar"/>
              </w:rPr>
              <w:t>0</w:t>
            </w:r>
          </w:p>
        </w:tc>
        <w:tc>
          <w:tcPr>
            <w:tcW w:w="6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等线" w:hAnsi="等线" w:eastAsia="等线" w:cs="等线"/>
                <w:b/>
                <w:bCs/>
                <w:i w:val="0"/>
                <w:iCs w:val="0"/>
                <w:color w:val="333333"/>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056" w:type="dxa"/>
            <w:tcBorders>
              <w:top w:val="single" w:color="000000" w:sz="4" w:space="0"/>
              <w:left w:val="single" w:color="000000" w:sz="4" w:space="0"/>
              <w:bottom w:val="single" w:color="000000" w:sz="4" w:space="0"/>
              <w:right w:val="single" w:color="000000" w:sz="4" w:space="0"/>
            </w:tcBorders>
            <w:shd w:val="clear" w:color="auto" w:fill="D9D9D9"/>
            <w:vAlign w:val="bottom"/>
          </w:tcPr>
          <w:p>
            <w:pPr>
              <w:keepNext w:val="0"/>
              <w:keepLines w:val="0"/>
              <w:pageBreakBefore w:val="0"/>
              <w:kinsoku/>
              <w:wordWrap/>
              <w:overflowPunct/>
              <w:topLinePunct w:val="0"/>
              <w:autoSpaceDE/>
              <w:autoSpaceDN/>
              <w:bidi w:val="0"/>
              <w:adjustRightInd/>
              <w:snapToGrid/>
              <w:spacing w:line="240" w:lineRule="exact"/>
              <w:rPr>
                <w:rFonts w:hint="eastAsia" w:ascii="微软雅黑" w:hAnsi="微软雅黑" w:eastAsia="微软雅黑" w:cs="微软雅黑"/>
                <w:i w:val="0"/>
                <w:iCs w:val="0"/>
                <w:color w:val="000000"/>
                <w:sz w:val="18"/>
                <w:szCs w:val="18"/>
                <w:u w:val="none"/>
              </w:rPr>
            </w:pPr>
          </w:p>
        </w:tc>
        <w:tc>
          <w:tcPr>
            <w:tcW w:w="6732" w:type="dxa"/>
            <w:gridSpan w:val="5"/>
            <w:tcBorders>
              <w:top w:val="single" w:color="000000" w:sz="4" w:space="0"/>
              <w:left w:val="single" w:color="000000" w:sz="4" w:space="0"/>
              <w:bottom w:val="single" w:color="000000" w:sz="4" w:space="0"/>
              <w:right w:val="single" w:color="000000" w:sz="4" w:space="0"/>
            </w:tcBorders>
            <w:shd w:val="clear" w:color="auto" w:fill="D9D9D9"/>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bottom"/>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bdr w:val="none" w:color="auto" w:sz="0" w:space="0"/>
                <w:lang w:val="en-US" w:eastAsia="zh-CN" w:bidi="ar"/>
              </w:rPr>
              <w:t>总分</w:t>
            </w:r>
          </w:p>
        </w:tc>
        <w:tc>
          <w:tcPr>
            <w:tcW w:w="1014"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bottom"/>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bdr w:val="none" w:color="auto" w:sz="0" w:space="0"/>
                <w:lang w:val="en-US" w:eastAsia="zh-CN" w:bidi="ar"/>
              </w:rPr>
              <w:t xml:space="preserve">100.00 </w:t>
            </w:r>
          </w:p>
        </w:tc>
        <w:tc>
          <w:tcPr>
            <w:tcW w:w="8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微软雅黑" w:hAnsi="微软雅黑" w:eastAsia="微软雅黑" w:cs="微软雅黑"/>
                <w:b w:val="0"/>
                <w:bCs w:val="0"/>
                <w:i w:val="0"/>
                <w:iCs w:val="0"/>
                <w:color w:val="000000"/>
                <w:sz w:val="18"/>
                <w:szCs w:val="18"/>
                <w:u w:val="none"/>
              </w:rPr>
            </w:pPr>
            <w:r>
              <w:rPr>
                <w:rFonts w:hint="eastAsia" w:ascii="微软雅黑" w:hAnsi="微软雅黑" w:eastAsia="微软雅黑" w:cs="微软雅黑"/>
                <w:b w:val="0"/>
                <w:bCs w:val="0"/>
                <w:i w:val="0"/>
                <w:iCs w:val="0"/>
                <w:color w:val="000000"/>
                <w:kern w:val="0"/>
                <w:sz w:val="18"/>
                <w:szCs w:val="18"/>
                <w:u w:val="none"/>
                <w:bdr w:val="none" w:color="auto" w:sz="0" w:space="0"/>
                <w:lang w:val="en-US" w:eastAsia="zh-CN" w:bidi="ar"/>
              </w:rPr>
              <w:t xml:space="preserve">99.87 </w:t>
            </w:r>
          </w:p>
        </w:tc>
        <w:tc>
          <w:tcPr>
            <w:tcW w:w="683"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bottom"/>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bdr w:val="none" w:color="auto" w:sz="0" w:space="0"/>
                <w:lang w:val="en-US" w:eastAsia="zh-CN" w:bidi="ar"/>
              </w:rPr>
              <w:t>—</w:t>
            </w:r>
          </w:p>
        </w:tc>
      </w:tr>
    </w:tbl>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p>
      <w:pPr>
        <w:keepNext w:val="0"/>
        <w:keepLines w:val="0"/>
        <w:pageBreakBefore w:val="0"/>
        <w:kinsoku/>
        <w:wordWrap/>
        <w:overflowPunct/>
        <w:topLinePunct w:val="0"/>
        <w:autoSpaceDE/>
        <w:autoSpaceDN/>
        <w:bidi w:val="0"/>
        <w:adjustRightInd/>
        <w:snapToGrid/>
        <w:spacing w:line="240" w:lineRule="exact"/>
      </w:pPr>
    </w:p>
    <w:tbl>
      <w:tblPr>
        <w:tblW w:w="103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049"/>
        <w:gridCol w:w="1110"/>
        <w:gridCol w:w="1245"/>
        <w:gridCol w:w="1500"/>
        <w:gridCol w:w="1410"/>
        <w:gridCol w:w="1395"/>
        <w:gridCol w:w="1021"/>
        <w:gridCol w:w="855"/>
        <w:gridCol w:w="7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0" w:hRule="atLeast"/>
        </w:trPr>
        <w:tc>
          <w:tcPr>
            <w:tcW w:w="10351" w:type="dxa"/>
            <w:gridSpan w:val="9"/>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等线" w:hAnsi="等线" w:eastAsia="等线" w:cs="等线"/>
                <w:b/>
                <w:bCs/>
                <w:i w:val="0"/>
                <w:iCs w:val="0"/>
                <w:color w:val="000000"/>
                <w:sz w:val="40"/>
                <w:szCs w:val="40"/>
                <w:u w:val="none"/>
              </w:rPr>
            </w:pPr>
            <w:r>
              <w:rPr>
                <w:rFonts w:hint="default" w:ascii="等线" w:hAnsi="等线" w:eastAsia="等线" w:cs="等线"/>
                <w:b/>
                <w:bCs/>
                <w:i w:val="0"/>
                <w:iCs w:val="0"/>
                <w:color w:val="000000"/>
                <w:kern w:val="0"/>
                <w:sz w:val="28"/>
                <w:szCs w:val="28"/>
                <w:u w:val="none"/>
                <w:bdr w:val="none" w:color="auto" w:sz="0" w:space="0"/>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40" w:hRule="atLeast"/>
        </w:trPr>
        <w:tc>
          <w:tcPr>
            <w:tcW w:w="10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项目编码：</w:t>
            </w:r>
          </w:p>
        </w:tc>
        <w:tc>
          <w:tcPr>
            <w:tcW w:w="2355"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440309210901500006460</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项目名称：</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服务大厅管理事务</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绩效自评年度：</w:t>
            </w:r>
          </w:p>
        </w:tc>
        <w:tc>
          <w:tcPr>
            <w:tcW w:w="2641" w:type="dxa"/>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2022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580" w:hRule="atLeast"/>
        </w:trPr>
        <w:tc>
          <w:tcPr>
            <w:tcW w:w="10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实施单位：</w:t>
            </w:r>
          </w:p>
        </w:tc>
        <w:tc>
          <w:tcPr>
            <w:tcW w:w="2355" w:type="dxa"/>
            <w:gridSpan w:val="2"/>
            <w:tcBorders>
              <w:top w:val="single" w:color="000000" w:sz="4" w:space="0"/>
              <w:left w:val="single" w:color="000000" w:sz="4" w:space="0"/>
              <w:bottom w:val="single" w:color="000000" w:sz="4" w:space="0"/>
              <w:right w:val="nil"/>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深圳市龙华区政务服务数据管理局</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一级预算单位：</w:t>
            </w:r>
          </w:p>
        </w:tc>
        <w:tc>
          <w:tcPr>
            <w:tcW w:w="5446" w:type="dxa"/>
            <w:gridSpan w:val="5"/>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深圳市龙华区政务服务数据管理局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40" w:hRule="atLeast"/>
        </w:trPr>
        <w:tc>
          <w:tcPr>
            <w:tcW w:w="10351" w:type="dxa"/>
            <w:gridSpan w:val="9"/>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资金使用情况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trPr>
        <w:tc>
          <w:tcPr>
            <w:tcW w:w="10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1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年初预算数</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全年预算数</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全年执行数</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分值</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执行率（%）</w:t>
            </w:r>
          </w:p>
        </w:tc>
        <w:tc>
          <w:tcPr>
            <w:tcW w:w="1620"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105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项目资金（元）</w:t>
            </w:r>
          </w:p>
        </w:tc>
        <w:tc>
          <w:tcPr>
            <w:tcW w:w="11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年度资金总额</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2600000.00</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3190000.00</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3172311.15</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10</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99.4500</w:t>
            </w:r>
          </w:p>
        </w:tc>
        <w:tc>
          <w:tcPr>
            <w:tcW w:w="1620"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9.95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1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其中：当年财政拨款</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2600000.00</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3190000.00</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3172311.15</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620"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1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上年结转资金</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620"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110"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其他资金</w:t>
            </w:r>
          </w:p>
        </w:tc>
        <w:tc>
          <w:tcPr>
            <w:tcW w:w="1245"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500"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410"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0.00</w:t>
            </w:r>
          </w:p>
        </w:tc>
        <w:tc>
          <w:tcPr>
            <w:tcW w:w="1395"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021" w:type="dxa"/>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c>
          <w:tcPr>
            <w:tcW w:w="1620" w:type="dxa"/>
            <w:gridSpan w:val="2"/>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0351" w:type="dxa"/>
            <w:gridSpan w:val="9"/>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项目目标完成情况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05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年度总体目标</w:t>
            </w:r>
          </w:p>
        </w:tc>
        <w:tc>
          <w:tcPr>
            <w:tcW w:w="5265" w:type="dxa"/>
            <w:gridSpan w:val="4"/>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预期目标</w:t>
            </w:r>
          </w:p>
        </w:tc>
        <w:tc>
          <w:tcPr>
            <w:tcW w:w="4036" w:type="dxa"/>
            <w:gridSpan w:val="4"/>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5265" w:type="dxa"/>
            <w:gridSpan w:val="4"/>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首先保证区行政服务大厅现场设施设备正常运行，确保窗口及后台各项工作正常有序开展。其次加强实体行政服务大厅人员管理，从窗口行为规范、文明礼仪、服务态度、大厅标准化建设等方面，提升整体对外服务质量。最后为群众营造一个更为温馨舒适的办事氛围，以实际行动提高办事群众对政务服务的满意度。</w:t>
            </w:r>
          </w:p>
        </w:tc>
        <w:tc>
          <w:tcPr>
            <w:tcW w:w="4036" w:type="dxa"/>
            <w:gridSpan w:val="4"/>
            <w:tcBorders>
              <w:top w:val="single" w:color="000000" w:sz="4" w:space="0"/>
              <w:left w:val="single" w:color="000000" w:sz="4" w:space="0"/>
              <w:bottom w:val="nil"/>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2022年我局为全区各级行政服务大厅综合窗口工作人员及相关管理人员定制了工作制服，通过统一着装，进一步树立了龙华区良好的政务窗口形象。我局对全区各级行政服务大厅开展了综合满意度调查工作，从窗口行为规范、文明礼仪、服务态度、大厅标准化建设等方面进行考察，加强了实体行政服务大厅人员管理，并提升了整体对外服务质量。同时区大厅现场设施设备的正常运行及窗口、后台工作的有序开展，也为群众提供了一个便捷、舒适的办事环境。另外，为了让企业群众能够更直观、更智能、更丰富的体验政务咨询服务，我局成功发送了162202条政务咨询5G“暖心短信”，进一步提升了办事群众对政务服务获得感和满意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00" w:hRule="atLeast"/>
        </w:trPr>
        <w:tc>
          <w:tcPr>
            <w:tcW w:w="105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年度绩效指标</w:t>
            </w:r>
          </w:p>
        </w:tc>
        <w:tc>
          <w:tcPr>
            <w:tcW w:w="11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一级指标</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二级指标</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三级指标</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年度指标值</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实际完成值</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分值</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得分</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1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产出</w:t>
            </w:r>
            <w:r>
              <w:rPr>
                <w:rFonts w:hint="default" w:ascii="等线" w:hAnsi="等线" w:eastAsia="等线" w:cs="等线"/>
                <w:b w:val="0"/>
                <w:bCs w:val="0"/>
                <w:i w:val="0"/>
                <w:iCs w:val="0"/>
                <w:color w:val="333333"/>
                <w:kern w:val="0"/>
                <w:sz w:val="18"/>
                <w:szCs w:val="18"/>
                <w:u w:val="none"/>
                <w:lang w:val="en-US" w:eastAsia="zh-CN" w:bidi="ar"/>
              </w:rPr>
              <w:br w:type="textWrapping"/>
            </w:r>
            <w:r>
              <w:rPr>
                <w:rFonts w:hint="default" w:ascii="等线" w:hAnsi="等线" w:eastAsia="等线" w:cs="等线"/>
                <w:b w:val="0"/>
                <w:bCs w:val="0"/>
                <w:i w:val="0"/>
                <w:iCs w:val="0"/>
                <w:color w:val="333333"/>
                <w:kern w:val="0"/>
                <w:sz w:val="18"/>
                <w:szCs w:val="18"/>
                <w:u w:val="none"/>
                <w:lang w:val="en-US" w:eastAsia="zh-CN" w:bidi="ar"/>
              </w:rPr>
              <w:t>(50分)</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数量</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各级行政服务大厅综合满意度调查</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60个行政服务大厅+8个政务分厅</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60个行政服务大厅+8个政务分厅</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10.00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10.00 </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质量</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工作制服量身制作覆盖率</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覆盖率100%</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覆盖率100%</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10.00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10.00 </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2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时效</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各级行政服务大厅综合满意度调查报告提交时间</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每季度结束后的下一个月提交上季度的调查报告。</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每季度结束后的下一个月提交上季度的调查报告。</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10.00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10.00 </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成本</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区大厅设施设备维护成本</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≤26万元</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25.8万元</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20.00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20.00 </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4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1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效益</w:t>
            </w:r>
            <w:r>
              <w:rPr>
                <w:rFonts w:hint="default" w:ascii="等线" w:hAnsi="等线" w:eastAsia="等线" w:cs="等线"/>
                <w:b w:val="0"/>
                <w:bCs w:val="0"/>
                <w:i w:val="0"/>
                <w:iCs w:val="0"/>
                <w:color w:val="333333"/>
                <w:kern w:val="0"/>
                <w:sz w:val="18"/>
                <w:szCs w:val="18"/>
                <w:u w:val="none"/>
                <w:lang w:val="en-US" w:eastAsia="zh-CN" w:bidi="ar"/>
              </w:rPr>
              <w:br w:type="textWrapping"/>
            </w:r>
            <w:r>
              <w:rPr>
                <w:rFonts w:hint="default" w:ascii="等线" w:hAnsi="等线" w:eastAsia="等线" w:cs="等线"/>
                <w:b w:val="0"/>
                <w:bCs w:val="0"/>
                <w:i w:val="0"/>
                <w:iCs w:val="0"/>
                <w:color w:val="333333"/>
                <w:kern w:val="0"/>
                <w:sz w:val="18"/>
                <w:szCs w:val="18"/>
                <w:u w:val="none"/>
                <w:lang w:val="en-US" w:eastAsia="zh-CN" w:bidi="ar"/>
              </w:rPr>
              <w:t>(30分)</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经济效益</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社会效益</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政务咨询5G“暖心短信”服务 </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满足群众咨询需求</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100%完成目标</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30.00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30.00 </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4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生态效益</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4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可持续影响</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不适用</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1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满意度</w:t>
            </w:r>
            <w:r>
              <w:rPr>
                <w:rFonts w:hint="default" w:ascii="等线" w:hAnsi="等线" w:eastAsia="等线" w:cs="等线"/>
                <w:b w:val="0"/>
                <w:bCs w:val="0"/>
                <w:i w:val="0"/>
                <w:iCs w:val="0"/>
                <w:color w:val="333333"/>
                <w:kern w:val="0"/>
                <w:sz w:val="18"/>
                <w:szCs w:val="18"/>
                <w:u w:val="none"/>
                <w:lang w:val="en-US" w:eastAsia="zh-CN" w:bidi="ar"/>
              </w:rPr>
              <w:br w:type="textWrapping"/>
            </w:r>
            <w:r>
              <w:rPr>
                <w:rFonts w:hint="default" w:ascii="等线" w:hAnsi="等线" w:eastAsia="等线" w:cs="等线"/>
                <w:b w:val="0"/>
                <w:bCs w:val="0"/>
                <w:i w:val="0"/>
                <w:iCs w:val="0"/>
                <w:color w:val="333333"/>
                <w:kern w:val="0"/>
                <w:sz w:val="18"/>
                <w:szCs w:val="18"/>
                <w:u w:val="none"/>
                <w:lang w:val="en-US" w:eastAsia="zh-CN" w:bidi="ar"/>
              </w:rPr>
              <w:t>(10分)</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服务对象满意度</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企业及办事群众对我区政务服务的满意度</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≥95%</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99.97%</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10.00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 xml:space="preserve">10.00 </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05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其他满意度</w:t>
            </w:r>
          </w:p>
        </w:tc>
        <w:tc>
          <w:tcPr>
            <w:tcW w:w="15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无</w:t>
            </w:r>
          </w:p>
        </w:tc>
        <w:tc>
          <w:tcPr>
            <w:tcW w:w="14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无</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无</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r>
              <w:rPr>
                <w:rFonts w:hint="default" w:ascii="等线" w:hAnsi="等线" w:eastAsia="等线" w:cs="等线"/>
                <w:b w:val="0"/>
                <w:bCs w:val="0"/>
                <w:i w:val="0"/>
                <w:iCs w:val="0"/>
                <w:color w:val="333333"/>
                <w:kern w:val="0"/>
                <w:sz w:val="18"/>
                <w:szCs w:val="18"/>
                <w:u w:val="none"/>
                <w:lang w:val="en-US" w:eastAsia="zh-CN" w:bidi="ar"/>
              </w:rPr>
              <w:t>0</w:t>
            </w:r>
          </w:p>
        </w:tc>
        <w:tc>
          <w:tcPr>
            <w:tcW w:w="7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050"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等线" w:hAnsi="等线" w:eastAsia="等线" w:cs="等线"/>
                <w:b w:val="0"/>
                <w:bCs w:val="0"/>
                <w:i w:val="0"/>
                <w:iCs w:val="0"/>
                <w:color w:val="333333"/>
                <w:kern w:val="0"/>
                <w:sz w:val="18"/>
                <w:szCs w:val="18"/>
                <w:u w:val="none"/>
                <w:lang w:val="en-US" w:eastAsia="zh-CN" w:bidi="ar"/>
              </w:rPr>
            </w:pPr>
          </w:p>
        </w:tc>
        <w:tc>
          <w:tcPr>
            <w:tcW w:w="6660" w:type="dxa"/>
            <w:gridSpan w:val="5"/>
            <w:tcBorders>
              <w:top w:val="single" w:color="000000" w:sz="4" w:space="0"/>
              <w:left w:val="single" w:color="000000" w:sz="4" w:space="0"/>
              <w:bottom w:val="single" w:color="000000" w:sz="4" w:space="0"/>
              <w:right w:val="single" w:color="000000" w:sz="4" w:space="0"/>
            </w:tcBorders>
            <w:shd w:val="cle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等线" w:hAnsi="等线" w:eastAsia="等线" w:cs="等线"/>
                <w:b w:val="0"/>
                <w:bCs w:val="0"/>
                <w:i w:val="0"/>
                <w:iCs w:val="0"/>
                <w:color w:val="333333"/>
                <w:kern w:val="0"/>
                <w:sz w:val="18"/>
                <w:szCs w:val="18"/>
                <w:u w:val="none"/>
                <w:lang w:val="en-US" w:eastAsia="zh-CN" w:bidi="ar"/>
              </w:rPr>
            </w:pPr>
            <w:r>
              <w:rPr>
                <w:rFonts w:hint="eastAsia" w:ascii="等线" w:hAnsi="等线" w:eastAsia="等线" w:cs="等线"/>
                <w:b w:val="0"/>
                <w:bCs w:val="0"/>
                <w:i w:val="0"/>
                <w:iCs w:val="0"/>
                <w:color w:val="333333"/>
                <w:kern w:val="0"/>
                <w:sz w:val="18"/>
                <w:szCs w:val="18"/>
                <w:u w:val="none"/>
                <w:lang w:val="en-US" w:eastAsia="zh-CN" w:bidi="ar"/>
              </w:rPr>
              <w:t>总分</w:t>
            </w:r>
          </w:p>
        </w:tc>
        <w:tc>
          <w:tcPr>
            <w:tcW w:w="102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等线" w:hAnsi="等线" w:eastAsia="等线" w:cs="等线"/>
                <w:b w:val="0"/>
                <w:bCs w:val="0"/>
                <w:i w:val="0"/>
                <w:iCs w:val="0"/>
                <w:color w:val="333333"/>
                <w:kern w:val="0"/>
                <w:sz w:val="18"/>
                <w:szCs w:val="18"/>
                <w:u w:val="none"/>
                <w:lang w:val="en-US" w:eastAsia="zh-CN" w:bidi="ar"/>
              </w:rPr>
            </w:pPr>
            <w:r>
              <w:rPr>
                <w:rFonts w:hint="eastAsia" w:ascii="等线" w:hAnsi="等线" w:eastAsia="等线" w:cs="等线"/>
                <w:b w:val="0"/>
                <w:bCs w:val="0"/>
                <w:i w:val="0"/>
                <w:iCs w:val="0"/>
                <w:color w:val="333333"/>
                <w:kern w:val="0"/>
                <w:sz w:val="18"/>
                <w:szCs w:val="18"/>
                <w:u w:val="none"/>
                <w:lang w:val="en-US" w:eastAsia="zh-CN" w:bidi="ar"/>
              </w:rPr>
              <w:t xml:space="preserve">100.00 </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等线" w:hAnsi="等线" w:eastAsia="等线" w:cs="等线"/>
                <w:b w:val="0"/>
                <w:bCs w:val="0"/>
                <w:i w:val="0"/>
                <w:iCs w:val="0"/>
                <w:color w:val="333333"/>
                <w:kern w:val="0"/>
                <w:sz w:val="18"/>
                <w:szCs w:val="18"/>
                <w:u w:val="none"/>
                <w:lang w:val="en-US" w:eastAsia="zh-CN" w:bidi="ar"/>
              </w:rPr>
            </w:pPr>
            <w:r>
              <w:rPr>
                <w:rFonts w:hint="eastAsia" w:ascii="等线" w:hAnsi="等线" w:eastAsia="等线" w:cs="等线"/>
                <w:b w:val="0"/>
                <w:bCs w:val="0"/>
                <w:i w:val="0"/>
                <w:iCs w:val="0"/>
                <w:color w:val="333333"/>
                <w:kern w:val="0"/>
                <w:sz w:val="18"/>
                <w:szCs w:val="18"/>
                <w:u w:val="none"/>
                <w:lang w:val="en-US" w:eastAsia="zh-CN" w:bidi="ar"/>
              </w:rPr>
              <w:t xml:space="preserve">99.95 </w:t>
            </w:r>
          </w:p>
        </w:tc>
        <w:tc>
          <w:tcPr>
            <w:tcW w:w="765"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等线" w:hAnsi="等线" w:eastAsia="等线" w:cs="等线"/>
                <w:b w:val="0"/>
                <w:bCs w:val="0"/>
                <w:i w:val="0"/>
                <w:iCs w:val="0"/>
                <w:color w:val="333333"/>
                <w:kern w:val="0"/>
                <w:sz w:val="18"/>
                <w:szCs w:val="18"/>
                <w:u w:val="none"/>
                <w:lang w:val="en-US" w:eastAsia="zh-CN" w:bidi="ar"/>
              </w:rPr>
            </w:pPr>
            <w:r>
              <w:rPr>
                <w:rFonts w:hint="eastAsia" w:ascii="等线" w:hAnsi="等线" w:eastAsia="等线" w:cs="等线"/>
                <w:b w:val="0"/>
                <w:bCs w:val="0"/>
                <w:i w:val="0"/>
                <w:iCs w:val="0"/>
                <w:color w:val="333333"/>
                <w:kern w:val="0"/>
                <w:sz w:val="18"/>
                <w:szCs w:val="18"/>
                <w:u w:val="none"/>
                <w:lang w:val="en-US" w:eastAsia="zh-CN" w:bidi="ar"/>
              </w:rPr>
              <w:t>—</w:t>
            </w: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等线" w:hAnsi="等线" w:eastAsia="等线" w:cs="等线"/>
          <w:b w:val="0"/>
          <w:bCs w:val="0"/>
          <w:i w:val="0"/>
          <w:iCs w:val="0"/>
          <w:color w:val="333333"/>
          <w:kern w:val="0"/>
          <w:sz w:val="18"/>
          <w:szCs w:val="18"/>
          <w:u w:val="none"/>
          <w:lang w:val="en-US" w:eastAsia="zh-CN" w:bidi="ar"/>
        </w:rPr>
      </w:pPr>
      <w:bookmarkStart w:id="0" w:name="_GoBack"/>
      <w:bookmarkEnd w:id="0"/>
    </w:p>
    <w:sectPr>
      <w:pgSz w:w="11906" w:h="16838"/>
      <w:pgMar w:top="1440" w:right="1519" w:bottom="1440" w:left="952"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6A761F"/>
    <w:rsid w:val="0DFB7663"/>
    <w:rsid w:val="0F6143F9"/>
    <w:rsid w:val="161E23ED"/>
    <w:rsid w:val="166656B6"/>
    <w:rsid w:val="1AC40B69"/>
    <w:rsid w:val="1DCD7A35"/>
    <w:rsid w:val="27D7292B"/>
    <w:rsid w:val="2954091B"/>
    <w:rsid w:val="2AEA7B48"/>
    <w:rsid w:val="2E3D3B21"/>
    <w:rsid w:val="348000CC"/>
    <w:rsid w:val="3ECC2509"/>
    <w:rsid w:val="41D767CA"/>
    <w:rsid w:val="4DF76AC6"/>
    <w:rsid w:val="4F235DE5"/>
    <w:rsid w:val="4F4F3B80"/>
    <w:rsid w:val="4F62591F"/>
    <w:rsid w:val="52461EB2"/>
    <w:rsid w:val="528F77F2"/>
    <w:rsid w:val="59FB26AF"/>
    <w:rsid w:val="680F49CF"/>
    <w:rsid w:val="69616731"/>
    <w:rsid w:val="6C930267"/>
    <w:rsid w:val="6CC43D9B"/>
    <w:rsid w:val="72BC7729"/>
    <w:rsid w:val="736F628F"/>
    <w:rsid w:val="7AEC1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71"/>
    <w:basedOn w:val="3"/>
    <w:uiPriority w:val="0"/>
    <w:rPr>
      <w:rFonts w:hint="default" w:ascii="等线" w:hAnsi="等线" w:eastAsia="等线" w:cs="等线"/>
      <w:b/>
      <w:bCs/>
      <w:color w:val="000000"/>
      <w:sz w:val="18"/>
      <w:szCs w:val="18"/>
      <w:u w:val="none"/>
    </w:rPr>
  </w:style>
  <w:style w:type="character" w:customStyle="1" w:styleId="5">
    <w:name w:val="font81"/>
    <w:basedOn w:val="3"/>
    <w:uiPriority w:val="0"/>
    <w:rPr>
      <w:rFonts w:hint="default" w:ascii="等线" w:hAnsi="等线" w:eastAsia="等线" w:cs="等线"/>
      <w:b/>
      <w:bCs/>
      <w:color w:val="555555"/>
      <w:sz w:val="18"/>
      <w:szCs w:val="18"/>
      <w:u w:val="none"/>
    </w:rPr>
  </w:style>
  <w:style w:type="character" w:customStyle="1" w:styleId="6">
    <w:name w:val="font61"/>
    <w:basedOn w:val="3"/>
    <w:uiPriority w:val="0"/>
    <w:rPr>
      <w:rFonts w:hint="default" w:ascii="等线" w:hAnsi="等线" w:eastAsia="等线" w:cs="等线"/>
      <w:color w:val="000000"/>
      <w:sz w:val="18"/>
      <w:szCs w:val="18"/>
      <w:u w:val="none"/>
    </w:rPr>
  </w:style>
  <w:style w:type="character" w:customStyle="1" w:styleId="7">
    <w:name w:val="font11"/>
    <w:basedOn w:val="3"/>
    <w:uiPriority w:val="0"/>
    <w:rPr>
      <w:rFonts w:hint="default" w:ascii="等线" w:hAnsi="等线" w:eastAsia="等线" w:cs="等线"/>
      <w:b/>
      <w:bCs/>
      <w:color w:val="000000"/>
      <w:sz w:val="18"/>
      <w:szCs w:val="18"/>
      <w:u w:val="none"/>
    </w:rPr>
  </w:style>
  <w:style w:type="character" w:customStyle="1" w:styleId="8">
    <w:name w:val="font51"/>
    <w:basedOn w:val="3"/>
    <w:uiPriority w:val="0"/>
    <w:rPr>
      <w:rFonts w:hint="default" w:ascii="等线" w:hAnsi="等线" w:eastAsia="等线" w:cs="等线"/>
      <w:b/>
      <w:bCs/>
      <w:color w:val="555555"/>
      <w:sz w:val="18"/>
      <w:szCs w:val="18"/>
      <w:u w:val="none"/>
    </w:rPr>
  </w:style>
  <w:style w:type="character" w:customStyle="1" w:styleId="9">
    <w:name w:val="font21"/>
    <w:basedOn w:val="3"/>
    <w:uiPriority w:val="0"/>
    <w:rPr>
      <w:rFonts w:hint="default" w:ascii="等线" w:hAnsi="等线" w:eastAsia="等线" w:cs="等线"/>
      <w:color w:val="000000"/>
      <w:sz w:val="18"/>
      <w:szCs w:val="18"/>
      <w:u w:val="none"/>
    </w:rPr>
  </w:style>
  <w:style w:type="character" w:customStyle="1" w:styleId="10">
    <w:name w:val="font101"/>
    <w:basedOn w:val="3"/>
    <w:uiPriority w:val="0"/>
    <w:rPr>
      <w:rFonts w:hint="default" w:ascii="等线" w:hAnsi="等线" w:eastAsia="等线" w:cs="等线"/>
      <w:b/>
      <w:bCs/>
      <w:color w:val="000000"/>
      <w:sz w:val="20"/>
      <w:szCs w:val="20"/>
      <w:u w:val="none"/>
    </w:rPr>
  </w:style>
  <w:style w:type="character" w:customStyle="1" w:styleId="11">
    <w:name w:val="font91"/>
    <w:basedOn w:val="3"/>
    <w:uiPriority w:val="0"/>
    <w:rPr>
      <w:rFonts w:hint="default" w:ascii="等线" w:hAnsi="等线" w:eastAsia="等线" w:cs="等线"/>
      <w:b/>
      <w:bCs/>
      <w:color w:val="555555"/>
      <w:sz w:val="20"/>
      <w:szCs w:val="20"/>
      <w:u w:val="none"/>
    </w:rPr>
  </w:style>
  <w:style w:type="character" w:customStyle="1" w:styleId="12">
    <w:name w:val="font41"/>
    <w:basedOn w:val="3"/>
    <w:uiPriority w:val="0"/>
    <w:rPr>
      <w:rFonts w:hint="default" w:ascii="等线" w:hAnsi="等线" w:eastAsia="等线" w:cs="等线"/>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2021-02-05T01:51:00Z</dcterms:created>
  <dc:creator>Administrator.DELL03</dc:creator>
  <cp:lastModifiedBy>张美玲</cp:lastModifiedBy>
  <dcterms:modified xsi:type="dcterms:W3CDTF">2023-10-20T09:10:09Z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D668F6E1301E43E1B410E66C450CEC59</vt:lpwstr>
  </property>
</Properties>
</file>