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240" w:lineRule="auto"/>
        <w:jc w:val="center"/>
        <w:rPr>
          <w:rFonts w:cs="宋体" w:asciiTheme="majorEastAsia" w:hAnsiTheme="majorEastAsia" w:eastAsiaTheme="majorEastAsia"/>
          <w:b/>
          <w:color w:val="333333"/>
          <w:kern w:val="0"/>
          <w:sz w:val="44"/>
          <w:szCs w:val="44"/>
        </w:rPr>
      </w:pPr>
      <w:r>
        <w:rPr>
          <w:rFonts w:cs="宋体" w:asciiTheme="majorEastAsia" w:hAnsiTheme="majorEastAsia" w:eastAsiaTheme="majorEastAsia"/>
          <w:b/>
          <w:color w:val="333333"/>
          <w:kern w:val="0"/>
          <w:sz w:val="44"/>
          <w:szCs w:val="44"/>
        </w:rPr>
        <w:t>龙华区科技创新局关于《深圳市龙华区科技创新专项资金实施细则</w:t>
      </w:r>
      <w:r>
        <w:rPr>
          <w:rFonts w:hint="eastAsia" w:cs="宋体" w:asciiTheme="majorEastAsia" w:hAnsiTheme="majorEastAsia" w:eastAsiaTheme="majorEastAsia"/>
          <w:b/>
          <w:color w:val="333333"/>
          <w:kern w:val="0"/>
          <w:sz w:val="44"/>
          <w:szCs w:val="44"/>
        </w:rPr>
        <w:t>（修订）</w:t>
      </w:r>
      <w:r>
        <w:rPr>
          <w:rFonts w:cs="宋体" w:asciiTheme="majorEastAsia" w:hAnsiTheme="majorEastAsia" w:eastAsiaTheme="majorEastAsia"/>
          <w:b/>
          <w:color w:val="333333"/>
          <w:kern w:val="0"/>
          <w:sz w:val="44"/>
          <w:szCs w:val="44"/>
        </w:rPr>
        <w:t>》</w:t>
      </w:r>
    </w:p>
    <w:p>
      <w:pPr>
        <w:widowControl/>
        <w:shd w:val="clear" w:color="auto" w:fill="FFFFFF"/>
        <w:spacing w:line="240" w:lineRule="auto"/>
        <w:jc w:val="center"/>
        <w:rPr>
          <w:rFonts w:cs="宋体" w:asciiTheme="majorEastAsia" w:hAnsiTheme="majorEastAsia" w:eastAsiaTheme="majorEastAsia"/>
          <w:b/>
          <w:color w:val="333333"/>
          <w:kern w:val="0"/>
          <w:sz w:val="44"/>
          <w:szCs w:val="44"/>
        </w:rPr>
      </w:pPr>
      <w:r>
        <w:rPr>
          <w:rFonts w:cs="宋体" w:asciiTheme="majorEastAsia" w:hAnsiTheme="majorEastAsia" w:eastAsiaTheme="majorEastAsia"/>
          <w:b/>
          <w:color w:val="333333"/>
          <w:kern w:val="0"/>
          <w:sz w:val="44"/>
          <w:szCs w:val="44"/>
        </w:rPr>
        <w:t>的政策解读</w:t>
      </w:r>
    </w:p>
    <w:p>
      <w:pPr>
        <w:widowControl/>
        <w:shd w:val="clear" w:color="auto" w:fill="FFFFFF"/>
        <w:spacing w:line="240" w:lineRule="auto"/>
        <w:ind w:firstLine="480" w:firstLineChars="200"/>
        <w:jc w:val="left"/>
        <w:rPr>
          <w:rFonts w:ascii="FangSong_GB2312" w:hAnsi="宋体" w:eastAsia="FangSong_GB2312" w:cs="宋体"/>
          <w:color w:val="333333"/>
          <w:kern w:val="0"/>
          <w:sz w:val="24"/>
          <w:szCs w:val="24"/>
        </w:rPr>
      </w:pPr>
    </w:p>
    <w:p>
      <w:pPr>
        <w:widowControl/>
        <w:shd w:val="clear" w:color="auto" w:fill="FFFFFF"/>
        <w:ind w:firstLine="640" w:firstLineChars="200"/>
        <w:jc w:val="left"/>
        <w:rPr>
          <w:rFonts w:ascii="FangSong_GB2312" w:hAnsi="宋体" w:eastAsia="FangSong_GB2312" w:cs="宋体"/>
          <w:color w:val="333333"/>
          <w:kern w:val="0"/>
          <w:sz w:val="32"/>
          <w:szCs w:val="32"/>
        </w:rPr>
      </w:pPr>
      <w:r>
        <w:rPr>
          <w:rFonts w:ascii="FangSong_GB2312" w:hAnsi="宋体" w:eastAsia="FangSong_GB2312" w:cs="宋体"/>
          <w:color w:val="333333"/>
          <w:kern w:val="0"/>
          <w:sz w:val="32"/>
          <w:szCs w:val="32"/>
        </w:rPr>
        <w:t>为贯彻落实区委、区政府工作部署，深入实施创新驱动发展战略，加快集聚各类创新资源，</w:t>
      </w:r>
      <w:r>
        <w:rPr>
          <w:rFonts w:hint="eastAsia" w:ascii="FangSong_GB2312" w:hAnsi="宋体" w:eastAsia="FangSong_GB2312" w:cs="宋体"/>
          <w:color w:val="333333"/>
          <w:kern w:val="0"/>
          <w:sz w:val="32"/>
          <w:szCs w:val="32"/>
        </w:rPr>
        <w:t>全面提升自主创新能力，发挥科技创新引领支撑作用，推动龙华高质量发展,龙华</w:t>
      </w:r>
      <w:r>
        <w:rPr>
          <w:rFonts w:ascii="FangSong_GB2312" w:hAnsi="宋体" w:eastAsia="FangSong_GB2312" w:cs="宋体"/>
          <w:color w:val="333333"/>
          <w:kern w:val="0"/>
          <w:sz w:val="32"/>
          <w:szCs w:val="32"/>
        </w:rPr>
        <w:t>区科技创新局</w:t>
      </w:r>
      <w:r>
        <w:rPr>
          <w:rFonts w:hint="eastAsia" w:ascii="FangSong_GB2312" w:hAnsi="宋体" w:eastAsia="FangSong_GB2312" w:cs="宋体"/>
          <w:color w:val="333333"/>
          <w:kern w:val="0"/>
          <w:sz w:val="32"/>
          <w:szCs w:val="32"/>
        </w:rPr>
        <w:t>结合近几年龙华区科技创新政策实施实际，对《深圳市龙华区科技创新专项资金实施细则》（深龙华府办规〔2018〕2号）进行了修订，形成</w:t>
      </w:r>
      <w:r>
        <w:rPr>
          <w:rFonts w:ascii="FangSong_GB2312" w:hAnsi="宋体" w:eastAsia="FangSong_GB2312" w:cs="宋体"/>
          <w:color w:val="333333"/>
          <w:kern w:val="0"/>
          <w:sz w:val="32"/>
          <w:szCs w:val="32"/>
        </w:rPr>
        <w:t>了《</w:t>
      </w:r>
      <w:r>
        <w:rPr>
          <w:rFonts w:hint="eastAsia" w:ascii="FangSong_GB2312" w:hAnsi="宋体" w:eastAsia="FangSong_GB2312" w:cs="宋体"/>
          <w:color w:val="333333"/>
          <w:kern w:val="0"/>
          <w:sz w:val="32"/>
          <w:szCs w:val="32"/>
        </w:rPr>
        <w:t>深圳市龙华区科技创新专项资金实施细则（修订）</w:t>
      </w:r>
      <w:r>
        <w:rPr>
          <w:rFonts w:ascii="FangSong_GB2312" w:hAnsi="宋体" w:eastAsia="FangSong_GB2312" w:cs="宋体"/>
          <w:color w:val="333333"/>
          <w:kern w:val="0"/>
          <w:sz w:val="32"/>
          <w:szCs w:val="32"/>
        </w:rPr>
        <w:t>》</w:t>
      </w:r>
      <w:r>
        <w:rPr>
          <w:rFonts w:hint="eastAsia" w:ascii="FangSong_GB2312" w:hAnsi="宋体" w:eastAsia="FangSong_GB2312" w:cs="宋体"/>
          <w:color w:val="333333"/>
          <w:kern w:val="0"/>
          <w:sz w:val="32"/>
          <w:szCs w:val="32"/>
        </w:rPr>
        <w:t>（深龙华府办规〔2020〕4号）（以下简称《实施细则（修订）》）</w:t>
      </w:r>
      <w:r>
        <w:rPr>
          <w:rFonts w:ascii="FangSong_GB2312" w:hAnsi="宋体" w:eastAsia="FangSong_GB2312" w:cs="宋体"/>
          <w:color w:val="333333"/>
          <w:kern w:val="0"/>
          <w:sz w:val="32"/>
          <w:szCs w:val="32"/>
        </w:rPr>
        <w:t>。</w:t>
      </w:r>
      <w:r>
        <w:rPr>
          <w:rFonts w:hint="eastAsia" w:ascii="FangSong_GB2312" w:hAnsi="宋体" w:eastAsia="FangSong_GB2312" w:cs="宋体"/>
          <w:color w:val="333333"/>
          <w:kern w:val="0"/>
          <w:sz w:val="32"/>
          <w:szCs w:val="32"/>
        </w:rPr>
        <w:t>现解读如下:</w:t>
      </w:r>
    </w:p>
    <w:p>
      <w:pPr>
        <w:widowControl/>
        <w:shd w:val="clear" w:color="auto" w:fill="FFFFFF"/>
        <w:jc w:val="left"/>
        <w:rPr>
          <w:rFonts w:ascii="黑体" w:hAnsi="黑体" w:eastAsia="黑体" w:cs="宋体"/>
          <w:color w:val="333333"/>
          <w:kern w:val="0"/>
          <w:sz w:val="32"/>
          <w:szCs w:val="32"/>
        </w:rPr>
      </w:pPr>
      <w:r>
        <w:rPr>
          <w:rFonts w:hint="eastAsia" w:ascii="FangSong_GB2312" w:hAnsi="宋体" w:eastAsia="FangSong_GB2312" w:cs="宋体"/>
          <w:color w:val="333333"/>
          <w:kern w:val="0"/>
          <w:sz w:val="32"/>
          <w:szCs w:val="32"/>
        </w:rPr>
        <w:t>　　</w:t>
      </w:r>
      <w:r>
        <w:rPr>
          <w:rFonts w:hint="eastAsia" w:ascii="黑体" w:hAnsi="黑体" w:eastAsia="黑体" w:cs="宋体"/>
          <w:color w:val="333333"/>
          <w:kern w:val="0"/>
          <w:sz w:val="32"/>
          <w:szCs w:val="32"/>
        </w:rPr>
        <w:t>一、修订主要依据</w:t>
      </w:r>
    </w:p>
    <w:p>
      <w:pPr>
        <w:widowControl/>
        <w:shd w:val="clear" w:color="auto" w:fill="FFFFFF"/>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　　《实施细则（修订）》</w:t>
      </w:r>
      <w:r>
        <w:rPr>
          <w:rFonts w:ascii="FangSong_GB2312" w:hAnsi="宋体" w:eastAsia="FangSong_GB2312" w:cs="宋体"/>
          <w:color w:val="333333"/>
          <w:kern w:val="0"/>
          <w:sz w:val="32"/>
          <w:szCs w:val="32"/>
        </w:rPr>
        <w:t>主要以</w:t>
      </w:r>
      <w:r>
        <w:rPr>
          <w:rFonts w:hint="eastAsia" w:ascii="FangSong_GB2312" w:hAnsi="宋体" w:eastAsia="FangSong_GB2312" w:cs="宋体"/>
          <w:color w:val="333333"/>
          <w:kern w:val="0"/>
          <w:sz w:val="32"/>
          <w:szCs w:val="32"/>
        </w:rPr>
        <w:t>关于《广东省人民政府印发关于进一步促进科技创新若干政策措施的通知》（</w:t>
      </w:r>
      <w:r>
        <w:rPr>
          <w:rFonts w:ascii="FangSong_GB2312" w:hAnsi="宋体" w:eastAsia="FangSong_GB2312" w:cs="宋体"/>
          <w:color w:val="333333"/>
          <w:kern w:val="0"/>
          <w:sz w:val="32"/>
          <w:szCs w:val="32"/>
        </w:rPr>
        <w:t>粤府〔2019〕1号</w:t>
      </w:r>
      <w:r>
        <w:rPr>
          <w:rFonts w:hint="eastAsia" w:ascii="FangSong_GB2312" w:hAnsi="宋体" w:eastAsia="FangSong_GB2312" w:cs="宋体"/>
          <w:color w:val="333333"/>
          <w:kern w:val="0"/>
          <w:sz w:val="32"/>
          <w:szCs w:val="32"/>
        </w:rPr>
        <w:t>）、《深圳市科技计划管理改革》（深府</w:t>
      </w:r>
      <w:r>
        <w:rPr>
          <w:rFonts w:ascii="FangSong_GB2312" w:hAnsi="宋体" w:eastAsia="FangSong_GB2312" w:cs="宋体"/>
          <w:color w:val="333333"/>
          <w:kern w:val="0"/>
          <w:sz w:val="32"/>
          <w:szCs w:val="32"/>
        </w:rPr>
        <w:t>〔2019〕1号</w:t>
      </w:r>
      <w:r>
        <w:rPr>
          <w:rFonts w:hint="eastAsia" w:ascii="FangSong_GB2312" w:hAnsi="宋体" w:eastAsia="FangSong_GB2312" w:cs="宋体"/>
          <w:color w:val="333333"/>
          <w:kern w:val="0"/>
          <w:sz w:val="32"/>
          <w:szCs w:val="32"/>
        </w:rPr>
        <w:t>）</w:t>
      </w:r>
      <w:r>
        <w:rPr>
          <w:rFonts w:ascii="FangSong_GB2312" w:hAnsi="宋体" w:eastAsia="FangSong_GB2312" w:cs="宋体"/>
          <w:color w:val="333333"/>
          <w:kern w:val="0"/>
          <w:sz w:val="32"/>
          <w:szCs w:val="32"/>
        </w:rPr>
        <w:t>、</w:t>
      </w:r>
      <w:r>
        <w:rPr>
          <w:rFonts w:hint="eastAsia" w:ascii="FangSong_GB2312" w:hAnsi="宋体" w:eastAsia="FangSong_GB2312" w:cs="宋体"/>
          <w:color w:val="333333"/>
          <w:kern w:val="0"/>
          <w:sz w:val="32"/>
          <w:szCs w:val="32"/>
        </w:rPr>
        <w:t>《龙华区区级财政专项资金管理办法》（深龙华府规〔2019〕3号）</w:t>
      </w:r>
      <w:r>
        <w:rPr>
          <w:rFonts w:ascii="FangSong_GB2312" w:hAnsi="宋体" w:eastAsia="FangSong_GB2312" w:cs="宋体"/>
          <w:color w:val="333333"/>
          <w:kern w:val="0"/>
          <w:sz w:val="32"/>
          <w:szCs w:val="32"/>
        </w:rPr>
        <w:t>等为</w:t>
      </w:r>
      <w:r>
        <w:rPr>
          <w:rFonts w:hint="eastAsia" w:ascii="FangSong_GB2312" w:hAnsi="宋体" w:eastAsia="FangSong_GB2312" w:cs="宋体"/>
          <w:color w:val="333333"/>
          <w:kern w:val="0"/>
          <w:sz w:val="32"/>
          <w:szCs w:val="32"/>
        </w:rPr>
        <w:t>修订</w:t>
      </w:r>
      <w:r>
        <w:rPr>
          <w:rFonts w:ascii="FangSong_GB2312" w:hAnsi="宋体" w:eastAsia="FangSong_GB2312" w:cs="宋体"/>
          <w:color w:val="333333"/>
          <w:kern w:val="0"/>
          <w:sz w:val="32"/>
          <w:szCs w:val="32"/>
        </w:rPr>
        <w:t>依据。</w:t>
      </w:r>
    </w:p>
    <w:p>
      <w:pPr>
        <w:widowControl/>
        <w:shd w:val="clear" w:color="auto" w:fill="FFFFFF"/>
        <w:jc w:val="left"/>
        <w:rPr>
          <w:rFonts w:ascii="黑体" w:hAnsi="黑体" w:eastAsia="黑体" w:cs="宋体"/>
          <w:color w:val="333333"/>
          <w:kern w:val="0"/>
          <w:sz w:val="32"/>
          <w:szCs w:val="32"/>
        </w:rPr>
      </w:pPr>
      <w:r>
        <w:rPr>
          <w:rFonts w:hint="eastAsia" w:ascii="FangSong_GB2312" w:hAnsi="宋体" w:eastAsia="FangSong_GB2312" w:cs="宋体"/>
          <w:color w:val="333333"/>
          <w:kern w:val="0"/>
          <w:sz w:val="32"/>
          <w:szCs w:val="32"/>
        </w:rPr>
        <w:t>　</w:t>
      </w:r>
      <w:r>
        <w:rPr>
          <w:rFonts w:hint="eastAsia" w:ascii="黑体" w:hAnsi="黑体" w:eastAsia="黑体" w:cs="宋体"/>
          <w:color w:val="333333"/>
          <w:kern w:val="0"/>
          <w:sz w:val="32"/>
          <w:szCs w:val="32"/>
        </w:rPr>
        <w:t>　二、主要内容及特点</w:t>
      </w:r>
    </w:p>
    <w:p>
      <w:pPr>
        <w:widowControl/>
        <w:shd w:val="clear" w:color="auto" w:fill="FFFFFF"/>
        <w:jc w:val="left"/>
        <w:rPr>
          <w:rFonts w:ascii="楷体" w:hAnsi="楷体" w:eastAsia="楷体" w:cs="宋体"/>
          <w:color w:val="333333"/>
          <w:kern w:val="0"/>
          <w:sz w:val="32"/>
          <w:szCs w:val="32"/>
        </w:rPr>
      </w:pPr>
      <w:r>
        <w:rPr>
          <w:rFonts w:hint="eastAsia" w:ascii="楷体" w:hAnsi="楷体" w:eastAsia="楷体" w:cs="宋体"/>
          <w:color w:val="333333"/>
          <w:kern w:val="0"/>
          <w:sz w:val="32"/>
          <w:szCs w:val="32"/>
        </w:rPr>
        <w:t>　　（一）主要内容</w:t>
      </w:r>
    </w:p>
    <w:p>
      <w:pPr>
        <w:widowControl/>
        <w:shd w:val="clear" w:color="auto" w:fill="FFFFFF"/>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　　《实施细则》坚持把创新作为引领发展的第一动力，以科技扶持政策为重要抓手，大力培育新动能，在推动创新主体提升自主创新能力及源头创新能力、营造开放协同高效的创新创业氛围等方面提出了具体的规定，全力打造创新创业新高地，助推龙华区产业转型升级。</w:t>
      </w:r>
    </w:p>
    <w:p>
      <w:pPr>
        <w:widowControl/>
        <w:shd w:val="clear" w:color="auto" w:fill="FFFFFF"/>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　　《实施细则》共包括9章、38条。第一章为总则，对重点扶持领域和对象进行了说明。第二章至第七章为扶持项目和标准，包括国家高新技术企业认定奖励、企业研发投入激励、市场准入认证激励、人才和团队创新创业资助、创新载体资助、研发机构资助、协同创新资助、科技金融资助、科技创新奖奖励、科技计划项目配套和成果产业化资助、深圳创新“十大行动计划”相关项目资助、高成长性企业奖励、创新创业活动资助、创新创业大赛奖励、高交会和国家级人才交流大会参展活动资助及社会公益科研项目资助、孵化载体配套资助、优质孵化载体奖励、孵化载体入驻单位房租资助、港澳青年创新创业基地资助、重大或特殊项目“一事一议”资助等24条。第八章为跟踪监管。第九章为附则。</w:t>
      </w:r>
    </w:p>
    <w:p>
      <w:pPr>
        <w:widowControl/>
        <w:shd w:val="clear" w:color="auto" w:fill="FFFFFF"/>
        <w:jc w:val="left"/>
        <w:rPr>
          <w:rFonts w:ascii="楷体" w:hAnsi="楷体" w:eastAsia="楷体" w:cs="宋体"/>
          <w:color w:val="333333"/>
          <w:kern w:val="0"/>
          <w:sz w:val="32"/>
          <w:szCs w:val="32"/>
        </w:rPr>
      </w:pPr>
      <w:r>
        <w:rPr>
          <w:rFonts w:hint="eastAsia" w:ascii="楷体" w:hAnsi="楷体" w:eastAsia="楷体" w:cs="宋体"/>
          <w:color w:val="333333"/>
          <w:kern w:val="0"/>
          <w:sz w:val="32"/>
          <w:szCs w:val="32"/>
        </w:rPr>
        <w:t>　　（二）主要特点</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1.继续保持对国高企业较大的奖励力度。对首次在申请认定奖励的给予30万元奖励，非首次在龙华区申请认定奖励的给予20万元奖励。</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2.鼓励企业加大研发投入。聚焦提升企业自主创新能力，“对规模以上国家高新技术企业或上年度研发加计扣除额5000万元以上的企业，按照统一比例（最高为企业上年度研发加计扣除额的5%），给予最高500万元的研发投入激励”。</w:t>
      </w:r>
    </w:p>
    <w:p>
      <w:pPr>
        <w:widowControl/>
        <w:shd w:val="clear" w:color="auto" w:fill="FFFFFF"/>
        <w:ind w:firstLine="480"/>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3.全方位支持人才团队创新创业，但更加突出成果导向。对国家、省、市创新团队创业的资助范围进行了适当扩大，由旧政策的扶持团队创办的企业改为“扶持团队创办的企业或机构”。</w:t>
      </w:r>
    </w:p>
    <w:p>
      <w:pPr>
        <w:widowControl/>
        <w:shd w:val="clear" w:color="auto" w:fill="FFFFFF"/>
        <w:ind w:firstLine="480"/>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对国家、省、市创新团队创业和深圳市高层次人才创业的资助力度和原政策保持一致，但将原来的事前“给予研发投入资助”改为事后“给予科研成果转化收入资助”。</w:t>
      </w:r>
    </w:p>
    <w:p>
      <w:pPr>
        <w:widowControl/>
        <w:shd w:val="clear" w:color="auto" w:fill="FFFFFF"/>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　　4.积极引进培育创新载体、研发机构。支持企业、事业单位、科研机构、高等院校等在龙华高标准建设创新载体、研发机构，深化产学研结合，壮大源头创新能力。一是扩大营收3亿元、5亿元以上企业建设提升内部研发机构资助范围，由原政策的仅资助“工业企业”改为资助“所有企业”。二是对区重点研发机构的资助由原来的“一刀切”（统一标准）改为根据研发机构的资质“分档次”扶持。这样调整后，扶持更加精准，可操作性更强，更有利于研发机构梯队建设。</w:t>
      </w:r>
    </w:p>
    <w:p>
      <w:pPr>
        <w:widowControl/>
        <w:shd w:val="clear" w:color="auto" w:fill="FFFFFF"/>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 xml:space="preserve">　　5.更加注重协同创新。增加了对协同创新平台建设资助和运营资助。按照协同创新平台建设投入的50%，给予最高1000万元的资助；对于为3家以上单位提供技术服务的，给予项目服务收入的20%，每年最高100万元的资助。 </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6.根据上级有关文件精神，取消了区级科技创新奖的评选和奖励。</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7.增加对制造业创新中心的资助力度。将制造业创新中心的配套资助提高至最高1.5亿元；同时删除了“双创示范基地、生产性公共服务平台”等非科技部门立项的项目的扶持。</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8. 提高了创新创业大赛的奖励额度。将国际、国家级比赛前三等奖的奖励金额从“50万、40万、30万”调整为“100万、80万、60万”。将省市前三等奖的奖励金额从“40万、30万、20万”调整为“80万、60万、50万”。将区创赛前三等次奖励金额从“30万、20万、10万”调整为“50万、30万、20万”。增大了对各级创新创业大赛获奖团队、个人落户龙华的吸引力。</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9.新增加了对孵化载体的资助，并更加注重对优质孵化载体的资助。资助内容主要包括上级配套资助、优质孵化载体运营奖励、孵化载体入驻单位房租扶持。</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10.</w:t>
      </w:r>
      <w:r>
        <w:rPr>
          <w:rFonts w:hint="eastAsia" w:ascii="Times New Roman" w:hAnsi="Times New Roman" w:cs="Times New Roman"/>
          <w:sz w:val="32"/>
          <w:szCs w:val="32"/>
        </w:rPr>
        <w:t xml:space="preserve"> </w:t>
      </w:r>
      <w:r>
        <w:rPr>
          <w:rFonts w:hint="eastAsia" w:ascii="FangSong_GB2312" w:hAnsi="宋体" w:eastAsia="FangSong_GB2312" w:cs="宋体"/>
          <w:color w:val="333333"/>
          <w:kern w:val="0"/>
          <w:sz w:val="32"/>
          <w:szCs w:val="32"/>
        </w:rPr>
        <w:t>根据《深圳市科技计划管理改革》精神，适当扩大了配套项目受资助单位资助经费管理使用自主权。配套资助项目各预算科目比例可根据实际情况安排，但人力资源费原则上不得超过配套资助资金的50%。</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11.对申请配套资助的项目，调整了表述，由原“上级经费到账2年内”改为“上级部门未约定项目执行期限的，应在上级经费到账2年内且项目通过验收前提出申请；上级部门有约定项目执行期限的，应在项目执行期结束前6个月提出申请”。</w:t>
      </w:r>
    </w:p>
    <w:p>
      <w:pPr>
        <w:widowControl/>
        <w:shd w:val="clear" w:color="auto" w:fill="FFFFFF"/>
        <w:jc w:val="left"/>
        <w:rPr>
          <w:rFonts w:ascii="黑体" w:hAnsi="黑体" w:eastAsia="黑体" w:cs="宋体"/>
          <w:color w:val="333333"/>
          <w:kern w:val="0"/>
          <w:sz w:val="32"/>
          <w:szCs w:val="32"/>
        </w:rPr>
      </w:pPr>
      <w:r>
        <w:rPr>
          <w:rFonts w:hint="eastAsia" w:ascii="FangSong_GB2312" w:hAnsi="宋体" w:eastAsia="FangSong_GB2312" w:cs="宋体"/>
          <w:color w:val="333333"/>
          <w:kern w:val="0"/>
          <w:sz w:val="32"/>
          <w:szCs w:val="32"/>
        </w:rPr>
        <w:t>　　</w:t>
      </w:r>
      <w:r>
        <w:rPr>
          <w:rFonts w:hint="eastAsia" w:ascii="黑体" w:hAnsi="黑体" w:eastAsia="黑体" w:cs="宋体"/>
          <w:color w:val="333333"/>
          <w:kern w:val="0"/>
          <w:sz w:val="32"/>
          <w:szCs w:val="32"/>
        </w:rPr>
        <w:t>三、修订过程</w:t>
      </w:r>
    </w:p>
    <w:p>
      <w:pPr>
        <w:widowControl/>
        <w:shd w:val="clear" w:color="auto" w:fill="FFFFFF"/>
        <w:ind w:firstLine="640" w:firstLineChars="200"/>
        <w:jc w:val="left"/>
        <w:rPr>
          <w:rFonts w:ascii="FangSong_GB2312" w:hAnsi="宋体" w:eastAsia="FangSong_GB2312" w:cs="宋体"/>
          <w:color w:val="333333"/>
          <w:kern w:val="0"/>
          <w:sz w:val="32"/>
          <w:szCs w:val="32"/>
        </w:rPr>
      </w:pPr>
      <w:r>
        <w:rPr>
          <w:rFonts w:ascii="FangSong_GB2312" w:hAnsi="宋体" w:eastAsia="FangSong_GB2312" w:cs="宋体"/>
          <w:color w:val="333333"/>
          <w:kern w:val="0"/>
          <w:sz w:val="32"/>
          <w:szCs w:val="32"/>
        </w:rPr>
        <w:t>2019</w:t>
      </w:r>
      <w:r>
        <w:rPr>
          <w:rFonts w:hint="eastAsia" w:ascii="FangSong_GB2312" w:hAnsi="宋体" w:eastAsia="FangSong_GB2312" w:cs="宋体"/>
          <w:color w:val="333333"/>
          <w:kern w:val="0"/>
          <w:sz w:val="32"/>
          <w:szCs w:val="32"/>
        </w:rPr>
        <w:t>年</w:t>
      </w:r>
      <w:r>
        <w:rPr>
          <w:rFonts w:ascii="FangSong_GB2312" w:hAnsi="宋体" w:eastAsia="FangSong_GB2312" w:cs="宋体"/>
          <w:color w:val="333333"/>
          <w:kern w:val="0"/>
          <w:sz w:val="32"/>
          <w:szCs w:val="32"/>
        </w:rPr>
        <w:t>5</w:t>
      </w:r>
      <w:r>
        <w:rPr>
          <w:rFonts w:hint="eastAsia" w:ascii="FangSong_GB2312" w:hAnsi="宋体" w:eastAsia="FangSong_GB2312" w:cs="宋体"/>
          <w:color w:val="333333"/>
          <w:kern w:val="0"/>
          <w:sz w:val="32"/>
          <w:szCs w:val="32"/>
        </w:rPr>
        <w:t>月，《龙华区区级财政专项资金管理办法》印发后，区政府要求各专项资金管理部门根据《龙华区区级财政专项资金管理办法》梳理、调整各自领域的专项资金实施细则，我局立即开展了调研、研究、起草修订稿初稿等工作。在修订过程中，调研了部分企业、科研机构，分析了龙华区科技创新发展状况，充分研究了广东省、深圳市以及兄弟区的相关政策，尽可能兼收并蓄，取长补短，最后在区分管领导亲自研究指导下，结合我区实际，于</w:t>
      </w:r>
      <w:r>
        <w:rPr>
          <w:rFonts w:ascii="FangSong_GB2312" w:hAnsi="宋体" w:eastAsia="FangSong_GB2312" w:cs="宋体"/>
          <w:color w:val="333333"/>
          <w:kern w:val="0"/>
          <w:sz w:val="32"/>
          <w:szCs w:val="32"/>
        </w:rPr>
        <w:t>2019</w:t>
      </w:r>
      <w:r>
        <w:rPr>
          <w:rFonts w:hint="eastAsia" w:ascii="FangSong_GB2312" w:hAnsi="宋体" w:eastAsia="FangSong_GB2312" w:cs="宋体"/>
          <w:color w:val="333333"/>
          <w:kern w:val="0"/>
          <w:sz w:val="32"/>
          <w:szCs w:val="32"/>
        </w:rPr>
        <w:t>年</w:t>
      </w:r>
      <w:r>
        <w:rPr>
          <w:rFonts w:ascii="FangSong_GB2312" w:hAnsi="宋体" w:eastAsia="FangSong_GB2312" w:cs="宋体"/>
          <w:color w:val="333333"/>
          <w:kern w:val="0"/>
          <w:sz w:val="32"/>
          <w:szCs w:val="32"/>
        </w:rPr>
        <w:t>7</w:t>
      </w:r>
      <w:r>
        <w:rPr>
          <w:rFonts w:hint="eastAsia" w:ascii="FangSong_GB2312" w:hAnsi="宋体" w:eastAsia="FangSong_GB2312" w:cs="宋体"/>
          <w:color w:val="333333"/>
          <w:kern w:val="0"/>
          <w:sz w:val="32"/>
          <w:szCs w:val="32"/>
        </w:rPr>
        <w:t>月中旬形成了修订稿初稿。随后就修订稿初稿广泛征求区各有关单意见，并根据意见进行了进一步完善。</w:t>
      </w:r>
      <w:r>
        <w:rPr>
          <w:rFonts w:ascii="FangSong_GB2312" w:hAnsi="宋体" w:eastAsia="FangSong_GB2312" w:cs="宋体"/>
          <w:color w:val="333333"/>
          <w:kern w:val="0"/>
          <w:sz w:val="32"/>
          <w:szCs w:val="32"/>
        </w:rPr>
        <w:t>2019</w:t>
      </w:r>
      <w:r>
        <w:rPr>
          <w:rFonts w:hint="eastAsia" w:ascii="FangSong_GB2312" w:hAnsi="宋体" w:eastAsia="FangSong_GB2312" w:cs="宋体"/>
          <w:color w:val="333333"/>
          <w:kern w:val="0"/>
          <w:sz w:val="32"/>
          <w:szCs w:val="32"/>
        </w:rPr>
        <w:t>年</w:t>
      </w:r>
      <w:r>
        <w:rPr>
          <w:rFonts w:ascii="FangSong_GB2312" w:hAnsi="宋体" w:eastAsia="FangSong_GB2312" w:cs="宋体"/>
          <w:color w:val="333333"/>
          <w:kern w:val="0"/>
          <w:sz w:val="32"/>
          <w:szCs w:val="32"/>
        </w:rPr>
        <w:t>10</w:t>
      </w:r>
      <w:r>
        <w:rPr>
          <w:rFonts w:hint="eastAsia" w:ascii="FangSong_GB2312" w:hAnsi="宋体" w:eastAsia="FangSong_GB2312" w:cs="宋体"/>
          <w:color w:val="333333"/>
          <w:kern w:val="0"/>
          <w:sz w:val="32"/>
          <w:szCs w:val="32"/>
        </w:rPr>
        <w:t>月，区政府常务会议第一次审议了修订稿，因为关于研发投入扶持政策等条款存在不同意见，会议议定暂不通过，需进一步完善后重新提交区政府常务</w:t>
      </w:r>
      <w:r>
        <w:rPr>
          <w:rFonts w:hint="eastAsia" w:ascii="FangSong_GB2312" w:hAnsi="宋体" w:eastAsia="FangSong_GB2312" w:cs="宋体"/>
          <w:color w:val="333333"/>
          <w:kern w:val="0"/>
          <w:sz w:val="32"/>
          <w:szCs w:val="32"/>
          <w:lang w:eastAsia="zh-CN"/>
        </w:rPr>
        <w:t>会议</w:t>
      </w:r>
      <w:bookmarkStart w:id="0" w:name="_GoBack"/>
      <w:bookmarkEnd w:id="0"/>
      <w:r>
        <w:rPr>
          <w:rFonts w:hint="eastAsia" w:ascii="FangSong_GB2312" w:hAnsi="宋体" w:eastAsia="FangSong_GB2312" w:cs="宋体"/>
          <w:color w:val="333333"/>
          <w:kern w:val="0"/>
          <w:sz w:val="32"/>
          <w:szCs w:val="32"/>
        </w:rPr>
        <w:t>审议。</w:t>
      </w:r>
    </w:p>
    <w:p>
      <w:pPr>
        <w:widowControl/>
        <w:shd w:val="clear" w:color="auto" w:fill="FFFFFF"/>
        <w:ind w:firstLine="465"/>
        <w:jc w:val="left"/>
        <w:rPr>
          <w:rFonts w:ascii="FangSong_GB2312" w:hAnsi="宋体" w:eastAsia="FangSong_GB2312" w:cs="宋体"/>
          <w:color w:val="333333"/>
          <w:kern w:val="0"/>
          <w:sz w:val="32"/>
          <w:szCs w:val="32"/>
        </w:rPr>
      </w:pPr>
      <w:r>
        <w:rPr>
          <w:rFonts w:hint="eastAsia" w:ascii="FangSong_GB2312" w:hAnsi="宋体" w:eastAsia="FangSong_GB2312" w:cs="宋体"/>
          <w:color w:val="333333"/>
          <w:kern w:val="0"/>
          <w:sz w:val="32"/>
          <w:szCs w:val="32"/>
        </w:rPr>
        <w:t>10月份的常务会议后，我局立即根据会议精神对是《实施细则（修订）》进行了修改，并再次征求了区各有关单位、企业、科研机构、市科创委等多方意见，最后统筹考虑，形成了最终上会版本，并于2020年4月9日通过了龙华区政府第九十一次常务会议的审议，会后根据会议精神进行完善后于2020年5月7日印发。</w:t>
      </w:r>
    </w:p>
    <w:p>
      <w:pPr>
        <w:widowControl/>
        <w:shd w:val="clear" w:color="auto" w:fill="FFFFFF"/>
        <w:ind w:firstLine="642" w:firstLineChars="200"/>
        <w:jc w:val="left"/>
        <w:rPr>
          <w:rFonts w:ascii="FangSong_GB2312" w:hAnsi="宋体" w:eastAsia="FangSong_GB2312" w:cs="宋体"/>
          <w:color w:val="333333"/>
          <w:kern w:val="0"/>
          <w:sz w:val="32"/>
          <w:szCs w:val="32"/>
        </w:rPr>
      </w:pPr>
      <w:r>
        <w:rPr>
          <w:rFonts w:hint="eastAsia" w:ascii="FangSong_GB2312" w:hAnsi="宋体" w:eastAsia="FangSong_GB2312" w:cs="宋体"/>
          <w:b/>
          <w:color w:val="333333"/>
          <w:kern w:val="0"/>
          <w:sz w:val="32"/>
          <w:szCs w:val="32"/>
        </w:rPr>
        <w:t>相关政策法规：</w:t>
      </w:r>
      <w:r>
        <w:rPr>
          <w:rFonts w:hint="eastAsia" w:ascii="FangSong_GB2312" w:hAnsi="宋体" w:eastAsia="FangSong_GB2312" w:cs="宋体"/>
          <w:color w:val="333333"/>
          <w:kern w:val="0"/>
          <w:sz w:val="32"/>
          <w:szCs w:val="32"/>
        </w:rPr>
        <w:t>深圳市龙华区人民政府办公室关于印发深圳市龙华区科技创新专项资金实施细则（修订）的通知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FangSong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AA0"/>
    <w:rsid w:val="0000271E"/>
    <w:rsid w:val="000111E6"/>
    <w:rsid w:val="00014E83"/>
    <w:rsid w:val="00024C0A"/>
    <w:rsid w:val="00025BAD"/>
    <w:rsid w:val="00031D51"/>
    <w:rsid w:val="000326FA"/>
    <w:rsid w:val="00032B31"/>
    <w:rsid w:val="00041B6A"/>
    <w:rsid w:val="000433D0"/>
    <w:rsid w:val="000440C3"/>
    <w:rsid w:val="00044D86"/>
    <w:rsid w:val="00044FFD"/>
    <w:rsid w:val="000532C0"/>
    <w:rsid w:val="00062809"/>
    <w:rsid w:val="00091DBE"/>
    <w:rsid w:val="000B73CC"/>
    <w:rsid w:val="000C3A15"/>
    <w:rsid w:val="000C5F52"/>
    <w:rsid w:val="000D3ED9"/>
    <w:rsid w:val="000E192A"/>
    <w:rsid w:val="000F15B8"/>
    <w:rsid w:val="000F2543"/>
    <w:rsid w:val="000F3F44"/>
    <w:rsid w:val="00103034"/>
    <w:rsid w:val="00126561"/>
    <w:rsid w:val="00130A9D"/>
    <w:rsid w:val="00130C2D"/>
    <w:rsid w:val="001328A7"/>
    <w:rsid w:val="001356E1"/>
    <w:rsid w:val="00151C15"/>
    <w:rsid w:val="0018275F"/>
    <w:rsid w:val="00185754"/>
    <w:rsid w:val="0019085C"/>
    <w:rsid w:val="00191DE1"/>
    <w:rsid w:val="001967EE"/>
    <w:rsid w:val="001A24E5"/>
    <w:rsid w:val="001B3110"/>
    <w:rsid w:val="001C2602"/>
    <w:rsid w:val="001C3396"/>
    <w:rsid w:val="001E17DA"/>
    <w:rsid w:val="001F2219"/>
    <w:rsid w:val="001F2F5F"/>
    <w:rsid w:val="001F391A"/>
    <w:rsid w:val="001F5668"/>
    <w:rsid w:val="001F5A3D"/>
    <w:rsid w:val="002031C4"/>
    <w:rsid w:val="002043E1"/>
    <w:rsid w:val="00212873"/>
    <w:rsid w:val="00213E71"/>
    <w:rsid w:val="0022194E"/>
    <w:rsid w:val="00221DD1"/>
    <w:rsid w:val="00236EA3"/>
    <w:rsid w:val="00242136"/>
    <w:rsid w:val="00243E86"/>
    <w:rsid w:val="0024754D"/>
    <w:rsid w:val="002625A6"/>
    <w:rsid w:val="0026309F"/>
    <w:rsid w:val="002650AE"/>
    <w:rsid w:val="0026733A"/>
    <w:rsid w:val="0026755E"/>
    <w:rsid w:val="00272767"/>
    <w:rsid w:val="00272AF3"/>
    <w:rsid w:val="00274309"/>
    <w:rsid w:val="002772B5"/>
    <w:rsid w:val="002B1F86"/>
    <w:rsid w:val="002B3CAB"/>
    <w:rsid w:val="002B4AAF"/>
    <w:rsid w:val="002B7A33"/>
    <w:rsid w:val="002C740D"/>
    <w:rsid w:val="002D2296"/>
    <w:rsid w:val="002D2EF5"/>
    <w:rsid w:val="002D3BDF"/>
    <w:rsid w:val="002E1481"/>
    <w:rsid w:val="00302CAA"/>
    <w:rsid w:val="0032190D"/>
    <w:rsid w:val="0034787C"/>
    <w:rsid w:val="00347B28"/>
    <w:rsid w:val="00356FA3"/>
    <w:rsid w:val="003620AA"/>
    <w:rsid w:val="003631FD"/>
    <w:rsid w:val="0037011E"/>
    <w:rsid w:val="003807CD"/>
    <w:rsid w:val="00391422"/>
    <w:rsid w:val="003A22FC"/>
    <w:rsid w:val="003A4E21"/>
    <w:rsid w:val="003C19F3"/>
    <w:rsid w:val="003D10E0"/>
    <w:rsid w:val="003D2D10"/>
    <w:rsid w:val="003E79C9"/>
    <w:rsid w:val="003F0BCD"/>
    <w:rsid w:val="003F2F2C"/>
    <w:rsid w:val="0040490C"/>
    <w:rsid w:val="00410ED6"/>
    <w:rsid w:val="0041577C"/>
    <w:rsid w:val="00424098"/>
    <w:rsid w:val="0044310C"/>
    <w:rsid w:val="0045029E"/>
    <w:rsid w:val="004626A2"/>
    <w:rsid w:val="00462A79"/>
    <w:rsid w:val="00480FBF"/>
    <w:rsid w:val="0048378E"/>
    <w:rsid w:val="004848CF"/>
    <w:rsid w:val="004A0C7D"/>
    <w:rsid w:val="004B3F50"/>
    <w:rsid w:val="004C4325"/>
    <w:rsid w:val="004D5AF6"/>
    <w:rsid w:val="004D5CCC"/>
    <w:rsid w:val="004D7DB6"/>
    <w:rsid w:val="004E19FF"/>
    <w:rsid w:val="004E54D7"/>
    <w:rsid w:val="0050297C"/>
    <w:rsid w:val="005054E7"/>
    <w:rsid w:val="00507F3C"/>
    <w:rsid w:val="00514513"/>
    <w:rsid w:val="00521457"/>
    <w:rsid w:val="0052683B"/>
    <w:rsid w:val="00531043"/>
    <w:rsid w:val="00541E21"/>
    <w:rsid w:val="00542C02"/>
    <w:rsid w:val="0056272F"/>
    <w:rsid w:val="00582C2D"/>
    <w:rsid w:val="00582C9F"/>
    <w:rsid w:val="005835CE"/>
    <w:rsid w:val="005850CE"/>
    <w:rsid w:val="00595FAB"/>
    <w:rsid w:val="005B18CB"/>
    <w:rsid w:val="005C5836"/>
    <w:rsid w:val="005D38A3"/>
    <w:rsid w:val="005E7969"/>
    <w:rsid w:val="005F5452"/>
    <w:rsid w:val="006030E7"/>
    <w:rsid w:val="00603AA0"/>
    <w:rsid w:val="00607999"/>
    <w:rsid w:val="006170F7"/>
    <w:rsid w:val="006226CC"/>
    <w:rsid w:val="0062395F"/>
    <w:rsid w:val="00624D41"/>
    <w:rsid w:val="00626D10"/>
    <w:rsid w:val="0063352D"/>
    <w:rsid w:val="00645521"/>
    <w:rsid w:val="0065195C"/>
    <w:rsid w:val="006520A2"/>
    <w:rsid w:val="00652400"/>
    <w:rsid w:val="006555DB"/>
    <w:rsid w:val="0065647B"/>
    <w:rsid w:val="00665934"/>
    <w:rsid w:val="006702DA"/>
    <w:rsid w:val="00673C14"/>
    <w:rsid w:val="00687736"/>
    <w:rsid w:val="00693A5A"/>
    <w:rsid w:val="006942DE"/>
    <w:rsid w:val="006B16B0"/>
    <w:rsid w:val="006E04BB"/>
    <w:rsid w:val="006E16B9"/>
    <w:rsid w:val="006E3013"/>
    <w:rsid w:val="006E3833"/>
    <w:rsid w:val="006F1531"/>
    <w:rsid w:val="00705C8D"/>
    <w:rsid w:val="00710289"/>
    <w:rsid w:val="00711860"/>
    <w:rsid w:val="00714A3F"/>
    <w:rsid w:val="00732BBA"/>
    <w:rsid w:val="00741509"/>
    <w:rsid w:val="00752E1D"/>
    <w:rsid w:val="007571D7"/>
    <w:rsid w:val="00760441"/>
    <w:rsid w:val="007620E3"/>
    <w:rsid w:val="00774A4B"/>
    <w:rsid w:val="00783D02"/>
    <w:rsid w:val="007860EC"/>
    <w:rsid w:val="007935AF"/>
    <w:rsid w:val="00794479"/>
    <w:rsid w:val="00794D6E"/>
    <w:rsid w:val="007A328C"/>
    <w:rsid w:val="007C761E"/>
    <w:rsid w:val="007D63D5"/>
    <w:rsid w:val="007E6F2B"/>
    <w:rsid w:val="007F5ED0"/>
    <w:rsid w:val="00804EAF"/>
    <w:rsid w:val="00822749"/>
    <w:rsid w:val="0083415D"/>
    <w:rsid w:val="008365CD"/>
    <w:rsid w:val="0085349D"/>
    <w:rsid w:val="008538F0"/>
    <w:rsid w:val="00857407"/>
    <w:rsid w:val="008605D6"/>
    <w:rsid w:val="0087469B"/>
    <w:rsid w:val="00877B6A"/>
    <w:rsid w:val="00883030"/>
    <w:rsid w:val="0088610C"/>
    <w:rsid w:val="00886674"/>
    <w:rsid w:val="008A5DA6"/>
    <w:rsid w:val="008A625D"/>
    <w:rsid w:val="008D520D"/>
    <w:rsid w:val="008E1CDF"/>
    <w:rsid w:val="008E5412"/>
    <w:rsid w:val="008E76AF"/>
    <w:rsid w:val="008F6553"/>
    <w:rsid w:val="008F74C3"/>
    <w:rsid w:val="00911C84"/>
    <w:rsid w:val="00912762"/>
    <w:rsid w:val="00932FC3"/>
    <w:rsid w:val="00937CBB"/>
    <w:rsid w:val="00945887"/>
    <w:rsid w:val="0094703C"/>
    <w:rsid w:val="009470FF"/>
    <w:rsid w:val="00950048"/>
    <w:rsid w:val="00957876"/>
    <w:rsid w:val="00963C7E"/>
    <w:rsid w:val="00965FA4"/>
    <w:rsid w:val="00970336"/>
    <w:rsid w:val="00976E72"/>
    <w:rsid w:val="009840BB"/>
    <w:rsid w:val="00991048"/>
    <w:rsid w:val="009B51E2"/>
    <w:rsid w:val="009B65BB"/>
    <w:rsid w:val="009C02D6"/>
    <w:rsid w:val="009C5248"/>
    <w:rsid w:val="009D5261"/>
    <w:rsid w:val="009E1055"/>
    <w:rsid w:val="009F2527"/>
    <w:rsid w:val="00A04E8E"/>
    <w:rsid w:val="00A14633"/>
    <w:rsid w:val="00A15C0C"/>
    <w:rsid w:val="00A22DA4"/>
    <w:rsid w:val="00A23F32"/>
    <w:rsid w:val="00A3064C"/>
    <w:rsid w:val="00A30AAB"/>
    <w:rsid w:val="00A42EB9"/>
    <w:rsid w:val="00A44FFD"/>
    <w:rsid w:val="00A544EB"/>
    <w:rsid w:val="00A672E9"/>
    <w:rsid w:val="00A76871"/>
    <w:rsid w:val="00AB610D"/>
    <w:rsid w:val="00AC4CA1"/>
    <w:rsid w:val="00AD4978"/>
    <w:rsid w:val="00AD6104"/>
    <w:rsid w:val="00AE3F9D"/>
    <w:rsid w:val="00B0021E"/>
    <w:rsid w:val="00B074F5"/>
    <w:rsid w:val="00B13A85"/>
    <w:rsid w:val="00B21C98"/>
    <w:rsid w:val="00B2644C"/>
    <w:rsid w:val="00B26707"/>
    <w:rsid w:val="00B34B7E"/>
    <w:rsid w:val="00B356DA"/>
    <w:rsid w:val="00B52D0C"/>
    <w:rsid w:val="00B620C1"/>
    <w:rsid w:val="00B67690"/>
    <w:rsid w:val="00B831B0"/>
    <w:rsid w:val="00BB0C90"/>
    <w:rsid w:val="00BC0EC3"/>
    <w:rsid w:val="00BD032C"/>
    <w:rsid w:val="00BF71D3"/>
    <w:rsid w:val="00C12128"/>
    <w:rsid w:val="00C37F72"/>
    <w:rsid w:val="00C43A6F"/>
    <w:rsid w:val="00C56C5D"/>
    <w:rsid w:val="00C840FA"/>
    <w:rsid w:val="00C97E5E"/>
    <w:rsid w:val="00CA0FC1"/>
    <w:rsid w:val="00CA7585"/>
    <w:rsid w:val="00CB078D"/>
    <w:rsid w:val="00CB7429"/>
    <w:rsid w:val="00CC4761"/>
    <w:rsid w:val="00CC4C67"/>
    <w:rsid w:val="00CD70A2"/>
    <w:rsid w:val="00CE46E0"/>
    <w:rsid w:val="00CE5784"/>
    <w:rsid w:val="00CF1601"/>
    <w:rsid w:val="00CF1D64"/>
    <w:rsid w:val="00CF3EDD"/>
    <w:rsid w:val="00D008C4"/>
    <w:rsid w:val="00D00B8B"/>
    <w:rsid w:val="00D0198F"/>
    <w:rsid w:val="00D05D85"/>
    <w:rsid w:val="00D13499"/>
    <w:rsid w:val="00D1484F"/>
    <w:rsid w:val="00D23442"/>
    <w:rsid w:val="00D42CF9"/>
    <w:rsid w:val="00D47B69"/>
    <w:rsid w:val="00D51D5D"/>
    <w:rsid w:val="00D643E0"/>
    <w:rsid w:val="00D65E67"/>
    <w:rsid w:val="00D82D06"/>
    <w:rsid w:val="00D92713"/>
    <w:rsid w:val="00DA3162"/>
    <w:rsid w:val="00DC555E"/>
    <w:rsid w:val="00DC55E1"/>
    <w:rsid w:val="00DE50DC"/>
    <w:rsid w:val="00DF3EDE"/>
    <w:rsid w:val="00E2295A"/>
    <w:rsid w:val="00E35593"/>
    <w:rsid w:val="00E433E1"/>
    <w:rsid w:val="00E43BA9"/>
    <w:rsid w:val="00E50650"/>
    <w:rsid w:val="00E61FC0"/>
    <w:rsid w:val="00E62803"/>
    <w:rsid w:val="00E6752C"/>
    <w:rsid w:val="00E7346E"/>
    <w:rsid w:val="00E75BE8"/>
    <w:rsid w:val="00E92B0D"/>
    <w:rsid w:val="00E92E93"/>
    <w:rsid w:val="00EA7702"/>
    <w:rsid w:val="00EB3858"/>
    <w:rsid w:val="00ED666F"/>
    <w:rsid w:val="00EF51AF"/>
    <w:rsid w:val="00F31224"/>
    <w:rsid w:val="00F35A71"/>
    <w:rsid w:val="00F40A1D"/>
    <w:rsid w:val="00F4688B"/>
    <w:rsid w:val="00F7429F"/>
    <w:rsid w:val="00F9133C"/>
    <w:rsid w:val="00F94C3F"/>
    <w:rsid w:val="00F96E9B"/>
    <w:rsid w:val="00FA3410"/>
    <w:rsid w:val="00FC30E8"/>
    <w:rsid w:val="00FE1E90"/>
    <w:rsid w:val="00FE5A63"/>
    <w:rsid w:val="00FF0BF9"/>
    <w:rsid w:val="55FBB5A6"/>
    <w:rsid w:val="FFFD2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2"/>
    <w:qFormat/>
    <w:uiPriority w:val="9"/>
    <w:pPr>
      <w:widowControl/>
      <w:spacing w:before="100" w:beforeAutospacing="1" w:after="100" w:afterAutospacing="1" w:line="240" w:lineRule="auto"/>
      <w:jc w:val="left"/>
      <w:outlineLvl w:val="2"/>
    </w:pPr>
    <w:rPr>
      <w:rFonts w:ascii="宋体" w:hAnsi="宋体" w:eastAsia="宋体" w:cs="宋体"/>
      <w:b/>
      <w:bCs/>
      <w:kern w:val="0"/>
      <w:sz w:val="27"/>
      <w:szCs w:val="27"/>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pPr>
      <w:spacing w:line="240" w:lineRule="auto"/>
    </w:pPr>
    <w:rPr>
      <w:sz w:val="18"/>
      <w:szCs w:val="18"/>
    </w:rPr>
  </w:style>
  <w:style w:type="paragraph" w:styleId="4">
    <w:name w:val="footer"/>
    <w:basedOn w:val="1"/>
    <w:link w:val="10"/>
    <w:semiHidden/>
    <w:unhideWhenUsed/>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6">
    <w:name w:val="Normal (Web)"/>
    <w:basedOn w:val="1"/>
    <w:semiHidden/>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 w:type="character" w:customStyle="1" w:styleId="11">
    <w:name w:val="批注框文本 Char"/>
    <w:basedOn w:val="8"/>
    <w:link w:val="3"/>
    <w:semiHidden/>
    <w:qFormat/>
    <w:uiPriority w:val="99"/>
    <w:rPr>
      <w:sz w:val="18"/>
      <w:szCs w:val="18"/>
    </w:rPr>
  </w:style>
  <w:style w:type="character" w:customStyle="1" w:styleId="12">
    <w:name w:val="标题 3 Char"/>
    <w:basedOn w:val="8"/>
    <w:link w:val="2"/>
    <w:qFormat/>
    <w:uiPriority w:val="9"/>
    <w:rPr>
      <w:rFonts w:ascii="宋体" w:hAnsi="宋体" w:eastAsia="宋体" w:cs="宋体"/>
      <w:b/>
      <w:bCs/>
      <w:kern w:val="0"/>
      <w:sz w:val="27"/>
      <w:szCs w:val="27"/>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390</Words>
  <Characters>2227</Characters>
  <Lines>18</Lines>
  <Paragraphs>5</Paragraphs>
  <TotalTime>235</TotalTime>
  <ScaleCrop>false</ScaleCrop>
  <LinksUpToDate>false</LinksUpToDate>
  <CharactersWithSpaces>2612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2020-05-08T18:34:00Z</dcterms:created>
  <dc:creator>李涛1</dc:creator>
  <cp:lastModifiedBy>kcj-psy</cp:lastModifiedBy>
  <dcterms:modified xsi:type="dcterms:W3CDTF">2023-08-07T16:43:43Z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