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ind w:firstLine="0"/>
        <w:jc w:val="center"/>
        <w:textAlignment w:val="auto"/>
        <w:rPr>
          <w:sz w:val="20"/>
        </w:rPr>
      </w:pPr>
      <w:r>
        <w:rPr>
          <w:rFonts w:hint="eastAsia" w:ascii="方正小标宋_GBK" w:hAnsi="Times New Roman" w:eastAsia="方正小标宋_GBK" w:cs="Calibri"/>
          <w:sz w:val="40"/>
          <w:szCs w:val="21"/>
        </w:rPr>
        <w:t>关于龙华区福城街道福城南产业片区土地整备利益统筹项目土地整备规划的公布通告</w:t>
      </w:r>
    </w:p>
    <w:p>
      <w:pPr>
        <w:jc w:val="center"/>
        <w:rPr>
          <w:rFonts w:ascii="仿宋_GB2312" w:hAnsi="Times New Roman" w:eastAsia="仿宋_GB2312" w:cs="Calibri"/>
          <w:b/>
          <w:sz w:val="32"/>
          <w:szCs w:val="32"/>
        </w:rPr>
      </w:pPr>
    </w:p>
    <w:p>
      <w:pPr>
        <w:adjustRightInd w:val="0"/>
        <w:ind w:firstLine="640" w:firstLineChars="200"/>
        <w:rPr>
          <w:rFonts w:ascii="仿宋_GB2312" w:hAnsi="Times New Roman" w:eastAsia="仿宋_GB2312" w:cs="Calibri"/>
          <w:sz w:val="32"/>
          <w:szCs w:val="32"/>
        </w:rPr>
      </w:pPr>
      <w:r>
        <w:rPr>
          <w:rFonts w:hint="eastAsia" w:ascii="仿宋_GB2312" w:hAnsi="Times New Roman" w:eastAsia="仿宋_GB2312" w:cs="Calibri"/>
          <w:sz w:val="32"/>
          <w:szCs w:val="32"/>
        </w:rPr>
        <w:t>依据《深圳市城市规划条例》，经深圳市城市规划委员会授权，法定图则委员会2022年第11次会议审批通过龙华区福城街道福城南产业片区土地整备利益统筹项目土地整备规划，现予以公布：</w:t>
      </w:r>
    </w:p>
    <w:p>
      <w:pPr>
        <w:jc w:val="center"/>
      </w:pPr>
      <w:r>
        <w:drawing>
          <wp:anchor distT="0" distB="0" distL="0" distR="0" simplePos="0" relativeHeight="251659264" behindDoc="0" locked="0" layoutInCell="1" allowOverlap="1">
            <wp:simplePos x="0" y="0"/>
            <wp:positionH relativeFrom="column">
              <wp:posOffset>-363220</wp:posOffset>
            </wp:positionH>
            <wp:positionV relativeFrom="paragraph">
              <wp:posOffset>47625</wp:posOffset>
            </wp:positionV>
            <wp:extent cx="6001385" cy="5370830"/>
            <wp:effectExtent l="0" t="0" r="18415" b="1270"/>
            <wp:wrapTopAndBottom/>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noChangeArrowheads="true"/>
                    </pic:cNvPicPr>
                  </pic:nvPicPr>
                  <pic:blipFill>
                    <a:blip r:embed="rId4" cstate="print">
                      <a:extLst>
                        <a:ext uri="{28A0092B-C50C-407E-A947-70E740481C1C}">
                          <a14:useLocalDpi xmlns:a14="http://schemas.microsoft.com/office/drawing/2010/main" val="false"/>
                        </a:ext>
                      </a:extLst>
                    </a:blip>
                    <a:srcRect/>
                    <a:stretch>
                      <a:fillRect/>
                    </a:stretch>
                  </pic:blipFill>
                  <pic:spPr>
                    <a:xfrm>
                      <a:off x="0" y="0"/>
                      <a:ext cx="6001385" cy="5370830"/>
                    </a:xfrm>
                    <a:prstGeom prst="rect">
                      <a:avLst/>
                    </a:prstGeom>
                    <a:noFill/>
                    <a:ln>
                      <a:noFill/>
                    </a:ln>
                  </pic:spPr>
                </pic:pic>
              </a:graphicData>
            </a:graphic>
          </wp:anchor>
        </w:drawing>
      </w:r>
      <w:r>
        <w:rPr>
          <w:rFonts w:hint="eastAsia"/>
        </w:rPr>
        <w:t xml:space="preserve">                      </w:t>
      </w:r>
    </w:p>
    <w:p>
      <w:r>
        <w:rPr>
          <w:rFonts w:hint="eastAsia"/>
        </w:rPr>
        <w:t xml:space="preserve">  </w:t>
      </w:r>
    </w:p>
    <w:tbl>
      <w:tblPr>
        <w:tblStyle w:val="6"/>
        <w:tblW w:w="9518"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709"/>
        <w:gridCol w:w="1134"/>
        <w:gridCol w:w="1134"/>
        <w:gridCol w:w="992"/>
        <w:gridCol w:w="3403"/>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9518" w:type="dxa"/>
            <w:gridSpan w:val="7"/>
            <w:shd w:val="clear" w:color="000000" w:fill="FFFFFF"/>
            <w:vAlign w:val="center"/>
          </w:tcPr>
          <w:p>
            <w:pPr>
              <w:widowControl/>
              <w:jc w:val="center"/>
              <w:rPr>
                <w:rFonts w:hint="eastAsia" w:ascii="华文细黑" w:hAnsi="华文细黑" w:eastAsia="华文细黑" w:cs="Arial"/>
                <w:b/>
                <w:bCs/>
                <w:color w:val="000000"/>
                <w:kern w:val="24"/>
                <w:sz w:val="20"/>
                <w:szCs w:val="20"/>
              </w:rPr>
            </w:pPr>
            <w:r>
              <w:rPr>
                <w:rFonts w:hint="eastAsia" w:ascii="华文细黑" w:hAnsi="华文细黑" w:eastAsia="华文细黑" w:cs="Arial"/>
                <w:b/>
                <w:bCs/>
                <w:color w:val="000000"/>
                <w:kern w:val="24"/>
                <w:sz w:val="20"/>
                <w:szCs w:val="20"/>
              </w:rPr>
              <w:t>地块控制指标一览表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0" w:type="dxa"/>
            <w:vMerge w:val="restart"/>
            <w:shd w:val="clear" w:color="000000" w:fill="FFFFFF"/>
            <w:vAlign w:val="center"/>
          </w:tcPr>
          <w:p>
            <w:pPr>
              <w:widowControl/>
              <w:jc w:val="center"/>
              <w:rPr>
                <w:rFonts w:ascii="华文细黑" w:hAnsi="华文细黑" w:eastAsia="华文细黑" w:cs="Arial"/>
                <w:b/>
                <w:bCs/>
                <w:color w:val="000000"/>
                <w:kern w:val="24"/>
                <w:sz w:val="20"/>
                <w:szCs w:val="20"/>
              </w:rPr>
            </w:pPr>
            <w:r>
              <w:rPr>
                <w:rFonts w:hint="eastAsia" w:ascii="华文细黑" w:hAnsi="华文细黑" w:eastAsia="华文细黑" w:cs="Arial"/>
                <w:b/>
                <w:bCs/>
                <w:color w:val="000000"/>
                <w:kern w:val="24"/>
                <w:sz w:val="20"/>
                <w:szCs w:val="20"/>
              </w:rPr>
              <w:t>地块编号</w:t>
            </w:r>
          </w:p>
        </w:tc>
        <w:tc>
          <w:tcPr>
            <w:tcW w:w="709" w:type="dxa"/>
            <w:vMerge w:val="restart"/>
            <w:shd w:val="clear" w:color="000000" w:fill="FFFFFF"/>
            <w:vAlign w:val="center"/>
          </w:tcPr>
          <w:p>
            <w:pPr>
              <w:widowControl/>
              <w:jc w:val="center"/>
              <w:rPr>
                <w:rFonts w:ascii="华文细黑" w:hAnsi="华文细黑" w:eastAsia="华文细黑" w:cs="Arial"/>
                <w:b/>
                <w:bCs/>
                <w:color w:val="000000"/>
                <w:kern w:val="24"/>
                <w:sz w:val="20"/>
                <w:szCs w:val="20"/>
              </w:rPr>
            </w:pPr>
            <w:r>
              <w:rPr>
                <w:rFonts w:hint="eastAsia" w:ascii="华文细黑" w:hAnsi="华文细黑" w:eastAsia="华文细黑" w:cs="Arial"/>
                <w:b/>
                <w:bCs/>
                <w:color w:val="000000"/>
                <w:kern w:val="24"/>
                <w:sz w:val="20"/>
                <w:szCs w:val="20"/>
              </w:rPr>
              <w:t>用地代码</w:t>
            </w:r>
          </w:p>
        </w:tc>
        <w:tc>
          <w:tcPr>
            <w:tcW w:w="1134" w:type="dxa"/>
            <w:vMerge w:val="restart"/>
            <w:shd w:val="clear" w:color="000000" w:fill="FFFFFF"/>
            <w:vAlign w:val="center"/>
          </w:tcPr>
          <w:p>
            <w:pPr>
              <w:widowControl/>
              <w:jc w:val="center"/>
              <w:rPr>
                <w:rFonts w:ascii="华文细黑" w:hAnsi="华文细黑" w:eastAsia="华文细黑" w:cs="Arial"/>
                <w:b/>
                <w:bCs/>
                <w:color w:val="000000"/>
                <w:kern w:val="24"/>
                <w:sz w:val="20"/>
                <w:szCs w:val="20"/>
              </w:rPr>
            </w:pPr>
            <w:r>
              <w:rPr>
                <w:rFonts w:hint="eastAsia" w:ascii="华文细黑" w:hAnsi="华文细黑" w:eastAsia="华文细黑" w:cs="Arial"/>
                <w:b/>
                <w:bCs/>
                <w:color w:val="000000"/>
                <w:kern w:val="24"/>
                <w:sz w:val="20"/>
                <w:szCs w:val="20"/>
              </w:rPr>
              <w:t>用地性质</w:t>
            </w:r>
          </w:p>
        </w:tc>
        <w:tc>
          <w:tcPr>
            <w:tcW w:w="1134" w:type="dxa"/>
            <w:vMerge w:val="restart"/>
            <w:shd w:val="clear" w:color="000000" w:fill="FFFFFF"/>
            <w:vAlign w:val="center"/>
          </w:tcPr>
          <w:p>
            <w:pPr>
              <w:widowControl/>
              <w:jc w:val="center"/>
              <w:rPr>
                <w:rFonts w:ascii="华文细黑" w:hAnsi="华文细黑" w:eastAsia="华文细黑" w:cs="Arial"/>
                <w:b/>
                <w:bCs/>
                <w:color w:val="000000"/>
                <w:kern w:val="24"/>
                <w:sz w:val="20"/>
                <w:szCs w:val="20"/>
              </w:rPr>
            </w:pPr>
            <w:r>
              <w:rPr>
                <w:rFonts w:hint="eastAsia" w:ascii="华文细黑" w:hAnsi="华文细黑" w:eastAsia="华文细黑" w:cs="Arial"/>
                <w:b/>
                <w:bCs/>
                <w:color w:val="000000"/>
                <w:kern w:val="24"/>
                <w:sz w:val="20"/>
                <w:szCs w:val="20"/>
              </w:rPr>
              <w:t>用地面积（㎡）</w:t>
            </w:r>
          </w:p>
        </w:tc>
        <w:tc>
          <w:tcPr>
            <w:tcW w:w="992" w:type="dxa"/>
            <w:vMerge w:val="restart"/>
            <w:shd w:val="clear" w:color="000000" w:fill="FFFFFF"/>
            <w:vAlign w:val="center"/>
          </w:tcPr>
          <w:p>
            <w:pPr>
              <w:widowControl/>
              <w:jc w:val="center"/>
              <w:rPr>
                <w:rFonts w:ascii="华文细黑" w:hAnsi="华文细黑" w:eastAsia="华文细黑" w:cs="Arial"/>
                <w:b/>
                <w:bCs/>
                <w:color w:val="000000"/>
                <w:kern w:val="24"/>
                <w:sz w:val="20"/>
                <w:szCs w:val="20"/>
              </w:rPr>
            </w:pPr>
            <w:r>
              <w:rPr>
                <w:rFonts w:hint="eastAsia" w:ascii="华文细黑" w:hAnsi="华文细黑" w:eastAsia="华文细黑" w:cs="Arial"/>
                <w:b/>
                <w:bCs/>
                <w:color w:val="000000"/>
                <w:kern w:val="24"/>
                <w:sz w:val="20"/>
                <w:szCs w:val="20"/>
              </w:rPr>
              <w:t>规划容积率</w:t>
            </w:r>
          </w:p>
        </w:tc>
        <w:tc>
          <w:tcPr>
            <w:tcW w:w="3403" w:type="dxa"/>
            <w:vMerge w:val="restart"/>
            <w:shd w:val="clear" w:color="000000" w:fill="FFFFFF"/>
            <w:vAlign w:val="center"/>
          </w:tcPr>
          <w:p>
            <w:pPr>
              <w:widowControl/>
              <w:jc w:val="center"/>
              <w:rPr>
                <w:rFonts w:ascii="华文细黑" w:hAnsi="华文细黑" w:eastAsia="华文细黑" w:cs="Arial"/>
                <w:b/>
                <w:bCs/>
                <w:color w:val="000000"/>
                <w:kern w:val="24"/>
                <w:sz w:val="20"/>
                <w:szCs w:val="20"/>
              </w:rPr>
            </w:pPr>
            <w:r>
              <w:rPr>
                <w:rFonts w:hint="eastAsia" w:ascii="华文细黑" w:hAnsi="华文细黑" w:eastAsia="华文细黑" w:cs="Arial"/>
                <w:b/>
                <w:bCs/>
                <w:color w:val="000000"/>
                <w:kern w:val="24"/>
                <w:sz w:val="20"/>
                <w:szCs w:val="20"/>
              </w:rPr>
              <w:t>配套设施设置（含地下，㎡）</w:t>
            </w:r>
          </w:p>
        </w:tc>
        <w:tc>
          <w:tcPr>
            <w:tcW w:w="756" w:type="dxa"/>
            <w:vMerge w:val="restart"/>
            <w:shd w:val="clear" w:color="000000" w:fill="FFFFFF"/>
            <w:vAlign w:val="center"/>
          </w:tcPr>
          <w:p>
            <w:pPr>
              <w:widowControl/>
              <w:jc w:val="center"/>
              <w:rPr>
                <w:rFonts w:ascii="华文细黑" w:hAnsi="华文细黑" w:eastAsia="华文细黑" w:cs="Arial"/>
                <w:b/>
                <w:bCs/>
                <w:color w:val="000000"/>
                <w:kern w:val="24"/>
                <w:sz w:val="20"/>
                <w:szCs w:val="20"/>
              </w:rPr>
            </w:pPr>
            <w:r>
              <w:rPr>
                <w:rFonts w:hint="eastAsia" w:ascii="华文细黑" w:hAnsi="华文细黑" w:eastAsia="华文细黑" w:cs="Arial"/>
                <w:b/>
                <w:bCs/>
                <w:color w:val="000000"/>
                <w:kern w:val="24"/>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1390" w:type="dxa"/>
            <w:vMerge w:val="continue"/>
            <w:shd w:val="clear" w:color="000000" w:fill="FFFFFF"/>
            <w:vAlign w:val="center"/>
          </w:tcPr>
          <w:p>
            <w:pPr>
              <w:spacing w:line="200" w:lineRule="exact"/>
              <w:rPr>
                <w:rFonts w:hint="eastAsia" w:ascii="宋体" w:hAnsi="宋体" w:eastAsia="宋体" w:cs="宋体"/>
                <w:color w:val="000000" w:themeColor="text1"/>
                <w:sz w:val="16"/>
                <w:szCs w:val="16"/>
                <w14:textFill>
                  <w14:solidFill>
                    <w14:schemeClr w14:val="tx1"/>
                  </w14:solidFill>
                </w14:textFill>
              </w:rPr>
            </w:pPr>
          </w:p>
        </w:tc>
        <w:tc>
          <w:tcPr>
            <w:tcW w:w="709" w:type="dxa"/>
            <w:vMerge w:val="continue"/>
            <w:shd w:val="clear" w:color="000000" w:fill="FFFFFF"/>
            <w:vAlign w:val="center"/>
          </w:tcPr>
          <w:p>
            <w:pPr>
              <w:spacing w:line="200" w:lineRule="exact"/>
              <w:rPr>
                <w:rFonts w:hint="eastAsia" w:ascii="宋体" w:hAnsi="宋体" w:eastAsia="宋体" w:cs="宋体"/>
                <w:color w:val="000000" w:themeColor="text1"/>
                <w:sz w:val="16"/>
                <w:szCs w:val="16"/>
                <w14:textFill>
                  <w14:solidFill>
                    <w14:schemeClr w14:val="tx1"/>
                  </w14:solidFill>
                </w14:textFill>
              </w:rPr>
            </w:pPr>
          </w:p>
        </w:tc>
        <w:tc>
          <w:tcPr>
            <w:tcW w:w="1134" w:type="dxa"/>
            <w:vMerge w:val="continue"/>
            <w:shd w:val="clear" w:color="000000" w:fill="FFFFFF"/>
            <w:vAlign w:val="center"/>
          </w:tcPr>
          <w:p>
            <w:pPr>
              <w:spacing w:line="200" w:lineRule="exact"/>
              <w:rPr>
                <w:rFonts w:hint="eastAsia" w:ascii="宋体" w:hAnsi="宋体" w:eastAsia="宋体" w:cs="宋体"/>
                <w:color w:val="000000" w:themeColor="text1"/>
                <w:sz w:val="16"/>
                <w:szCs w:val="16"/>
                <w14:textFill>
                  <w14:solidFill>
                    <w14:schemeClr w14:val="tx1"/>
                  </w14:solidFill>
                </w14:textFill>
              </w:rPr>
            </w:pPr>
          </w:p>
        </w:tc>
        <w:tc>
          <w:tcPr>
            <w:tcW w:w="1134" w:type="dxa"/>
            <w:vMerge w:val="continue"/>
            <w:shd w:val="clear" w:color="000000" w:fill="FFFFFF"/>
            <w:vAlign w:val="center"/>
          </w:tcPr>
          <w:p>
            <w:pPr>
              <w:spacing w:line="200" w:lineRule="exact"/>
              <w:rPr>
                <w:rFonts w:hint="eastAsia" w:ascii="宋体" w:hAnsi="宋体" w:eastAsia="宋体" w:cs="宋体"/>
                <w:color w:val="000000" w:themeColor="text1"/>
                <w:sz w:val="16"/>
                <w:szCs w:val="16"/>
                <w14:textFill>
                  <w14:solidFill>
                    <w14:schemeClr w14:val="tx1"/>
                  </w14:solidFill>
                </w14:textFill>
              </w:rPr>
            </w:pPr>
          </w:p>
        </w:tc>
        <w:tc>
          <w:tcPr>
            <w:tcW w:w="992" w:type="dxa"/>
            <w:vMerge w:val="continue"/>
            <w:shd w:val="clear" w:color="000000" w:fill="FFFFFF"/>
            <w:vAlign w:val="center"/>
          </w:tcPr>
          <w:p>
            <w:pPr>
              <w:spacing w:line="200" w:lineRule="exact"/>
              <w:rPr>
                <w:rFonts w:hint="eastAsia" w:ascii="宋体" w:hAnsi="宋体" w:eastAsia="宋体" w:cs="宋体"/>
                <w:color w:val="000000" w:themeColor="text1"/>
                <w:sz w:val="16"/>
                <w:szCs w:val="16"/>
                <w14:textFill>
                  <w14:solidFill>
                    <w14:schemeClr w14:val="tx1"/>
                  </w14:solidFill>
                </w14:textFill>
              </w:rPr>
            </w:pPr>
          </w:p>
        </w:tc>
        <w:tc>
          <w:tcPr>
            <w:tcW w:w="3403" w:type="dxa"/>
            <w:vMerge w:val="continue"/>
            <w:shd w:val="clear" w:color="000000" w:fill="FFFFFF"/>
            <w:vAlign w:val="center"/>
          </w:tcPr>
          <w:p>
            <w:pPr>
              <w:spacing w:line="200" w:lineRule="exact"/>
              <w:rPr>
                <w:rFonts w:hint="eastAsia" w:ascii="华文细黑" w:hAnsi="华文细黑" w:eastAsia="华文细黑" w:cs="Arial"/>
                <w:b/>
                <w:bCs/>
                <w:color w:val="000000"/>
                <w:kern w:val="24"/>
                <w:sz w:val="20"/>
                <w:szCs w:val="20"/>
              </w:rPr>
            </w:pPr>
          </w:p>
        </w:tc>
        <w:tc>
          <w:tcPr>
            <w:tcW w:w="756" w:type="dxa"/>
            <w:vMerge w:val="continue"/>
            <w:shd w:val="clear" w:color="000000" w:fill="FFFFFF"/>
            <w:vAlign w:val="center"/>
          </w:tcPr>
          <w:p>
            <w:pPr>
              <w:spacing w:line="200" w:lineRule="exact"/>
              <w:rPr>
                <w:rFonts w:hint="eastAsia" w:ascii="宋体" w:hAnsi="宋体" w:eastAsia="宋体" w:cs="宋体"/>
                <w:color w:val="000000" w:themeColor="text1"/>
                <w:sz w:val="16"/>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1390"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709"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1134"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1134"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992"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3403"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756"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0"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709"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1134"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1134"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992"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3403"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c>
          <w:tcPr>
            <w:tcW w:w="756" w:type="dxa"/>
            <w:vMerge w:val="continue"/>
            <w:vAlign w:val="center"/>
          </w:tcPr>
          <w:p>
            <w:pPr>
              <w:spacing w:line="200" w:lineRule="exact"/>
              <w:rPr>
                <w:rFonts w:ascii="宋体" w:hAnsi="宋体" w:eastAsia="宋体" w:cs="宋体"/>
                <w:color w:val="000000" w:themeColor="text1"/>
                <w:sz w:val="16"/>
                <w:szCs w:val="16"/>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10-08-02</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M1</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普通工业用地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19510.6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5.9 </w:t>
            </w:r>
          </w:p>
        </w:tc>
        <w:tc>
          <w:tcPr>
            <w:tcW w:w="3403"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社区警务室150、公共充电站1100、物流配送站2000、社区体育活动场地占地1000</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10-08-03</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M1</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普通工业用地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14608.8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5.</w:t>
            </w:r>
            <w:r>
              <w:rPr>
                <w:rFonts w:cs="Arial" w:asciiTheme="minorEastAsia" w:hAnsiTheme="minorEastAsia" w:eastAsiaTheme="minorEastAsia"/>
                <w:bCs/>
                <w:kern w:val="24"/>
              </w:rPr>
              <w:t>9</w:t>
            </w:r>
          </w:p>
        </w:tc>
        <w:tc>
          <w:tcPr>
            <w:tcW w:w="3403" w:type="dxa"/>
            <w:shd w:val="clear" w:color="000000" w:fill="FFFFFF"/>
            <w:vAlign w:val="center"/>
          </w:tcPr>
          <w:p>
            <w:pPr>
              <w:pStyle w:val="5"/>
              <w:spacing w:before="0" w:beforeAutospacing="0" w:after="0" w:afterAutospacing="0"/>
              <w:jc w:val="center"/>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12-04-02</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R2</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二类居住用地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14082.3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5.2 </w:t>
            </w:r>
          </w:p>
        </w:tc>
        <w:tc>
          <w:tcPr>
            <w:tcW w:w="3403"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公交首末站4300、党群服务中心（含社区管理用房、便民服务站）3000</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12-10-01</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R2</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二类居住用地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20924.0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5.2 </w:t>
            </w:r>
          </w:p>
        </w:tc>
        <w:tc>
          <w:tcPr>
            <w:tcW w:w="3403"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社区健康服务中心2000、社区老年人日间照料中心1500、12班幼儿园5700，占地3600、母婴室10，片区汇聚机房300，社区体育活动场地占地3850</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12-16</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M1</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普通工业用地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5585.8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5.9 </w:t>
            </w:r>
          </w:p>
        </w:tc>
        <w:tc>
          <w:tcPr>
            <w:tcW w:w="3403"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小型垃圾转运站150、再生资源回收站60、公共厕所60、环卫工人作息房20</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12-18</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M1</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普通工业用地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10805.6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5.8 </w:t>
            </w:r>
          </w:p>
        </w:tc>
        <w:tc>
          <w:tcPr>
            <w:tcW w:w="3403" w:type="dxa"/>
            <w:shd w:val="clear" w:color="000000" w:fill="FFFFFF"/>
            <w:vAlign w:val="center"/>
          </w:tcPr>
          <w:p>
            <w:pPr>
              <w:pStyle w:val="5"/>
              <w:spacing w:before="0" w:beforeAutospacing="0" w:after="0" w:afterAutospacing="0"/>
              <w:jc w:val="center"/>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12-19</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M1</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普通工业用地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8754.7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5.8 </w:t>
            </w:r>
          </w:p>
        </w:tc>
        <w:tc>
          <w:tcPr>
            <w:tcW w:w="3403" w:type="dxa"/>
            <w:shd w:val="clear" w:color="000000" w:fill="FFFFFF"/>
            <w:vAlign w:val="center"/>
          </w:tcPr>
          <w:p>
            <w:pPr>
              <w:pStyle w:val="5"/>
              <w:spacing w:before="0" w:beforeAutospacing="0" w:after="0" w:afterAutospacing="0"/>
              <w:jc w:val="center"/>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01-04</w:t>
            </w:r>
          </w:p>
        </w:tc>
        <w:tc>
          <w:tcPr>
            <w:tcW w:w="709"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R2</w:t>
            </w:r>
          </w:p>
        </w:tc>
        <w:tc>
          <w:tcPr>
            <w:tcW w:w="1134"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二类居住用地</w:t>
            </w:r>
          </w:p>
        </w:tc>
        <w:tc>
          <w:tcPr>
            <w:tcW w:w="1134"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7011.6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4.9 </w:t>
            </w:r>
          </w:p>
        </w:tc>
        <w:tc>
          <w:tcPr>
            <w:tcW w:w="3403"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社区菜市场1000</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01-13</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R2</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二类居住用地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20928.9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5.0 </w:t>
            </w:r>
          </w:p>
        </w:tc>
        <w:tc>
          <w:tcPr>
            <w:tcW w:w="3403"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12班幼儿园5700，占地3600</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11-20-02</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M1</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普通工业用地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25364.3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5.9 </w:t>
            </w:r>
          </w:p>
        </w:tc>
        <w:tc>
          <w:tcPr>
            <w:tcW w:w="3403"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文化活动室1000、公共充电站700、社区健康服务中心1500、社区老年人日间照料中心1500、党群服务中心（含社区管理用房、便民服务站）2000、社区警务室150、片区汇聚机房150、小型垃圾转运站150、再生资源回收站60、公共厕所60、环卫工人作息房20、社区体育活动场地占地1550</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11-19</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M1</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普通工业用地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14878.7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5.8 </w:t>
            </w:r>
          </w:p>
        </w:tc>
        <w:tc>
          <w:tcPr>
            <w:tcW w:w="3403" w:type="dxa"/>
            <w:shd w:val="clear" w:color="000000" w:fill="FFFFFF"/>
            <w:vAlign w:val="center"/>
          </w:tcPr>
          <w:p>
            <w:pPr>
              <w:pStyle w:val="5"/>
              <w:spacing w:before="0" w:beforeAutospacing="0" w:after="0" w:afterAutospacing="0"/>
              <w:jc w:val="center"/>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11-16-01</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M1</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普通工业用地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11580.5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5.8 </w:t>
            </w:r>
          </w:p>
        </w:tc>
        <w:tc>
          <w:tcPr>
            <w:tcW w:w="3403" w:type="dxa"/>
            <w:shd w:val="clear" w:color="000000" w:fill="FFFFFF"/>
            <w:vAlign w:val="center"/>
          </w:tcPr>
          <w:p>
            <w:pPr>
              <w:pStyle w:val="5"/>
              <w:spacing w:before="0" w:beforeAutospacing="0" w:after="0" w:afterAutospacing="0"/>
              <w:jc w:val="center"/>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1390"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11-16-02</w:t>
            </w:r>
          </w:p>
        </w:tc>
        <w:tc>
          <w:tcPr>
            <w:tcW w:w="709"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M1</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普通工业用地</w:t>
            </w:r>
          </w:p>
        </w:tc>
        <w:tc>
          <w:tcPr>
            <w:tcW w:w="1134"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9100.3 </w:t>
            </w:r>
          </w:p>
        </w:tc>
        <w:tc>
          <w:tcPr>
            <w:tcW w:w="992" w:type="dxa"/>
            <w:shd w:val="clear" w:color="000000" w:fill="FFFFFF"/>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 xml:space="preserve">5.6 </w:t>
            </w:r>
          </w:p>
        </w:tc>
        <w:tc>
          <w:tcPr>
            <w:tcW w:w="3403" w:type="dxa"/>
            <w:shd w:val="clear" w:color="000000" w:fill="FFFFFF"/>
            <w:vAlign w:val="center"/>
          </w:tcPr>
          <w:p>
            <w:pPr>
              <w:pStyle w:val="5"/>
              <w:spacing w:before="0" w:beforeAutospacing="0" w:after="0" w:afterAutospacing="0"/>
              <w:jc w:val="center"/>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w:t>
            </w:r>
          </w:p>
        </w:tc>
        <w:tc>
          <w:tcPr>
            <w:tcW w:w="756" w:type="dxa"/>
            <w:shd w:val="clear" w:color="000000" w:fill="FFFFFF"/>
            <w:noWrap/>
            <w:vAlign w:val="center"/>
          </w:tcPr>
          <w:p>
            <w:pPr>
              <w:pStyle w:val="5"/>
              <w:spacing w:before="0" w:beforeAutospacing="0" w:after="0" w:afterAutospacing="0"/>
              <w:jc w:val="both"/>
              <w:textAlignment w:val="center"/>
              <w:rPr>
                <w:rFonts w:cs="Arial" w:asciiTheme="minorEastAsia" w:hAnsiTheme="minorEastAsia" w:eastAsiaTheme="minorEastAsia"/>
                <w:bCs/>
                <w:kern w:val="24"/>
              </w:rPr>
            </w:pPr>
            <w:r>
              <w:rPr>
                <w:rFonts w:hint="eastAsia" w:cs="Arial" w:asciiTheme="minorEastAsia" w:hAnsiTheme="minorEastAsia" w:eastAsiaTheme="minorEastAsia"/>
                <w:bCs/>
                <w:kern w:val="24"/>
              </w:rPr>
              <w:t>规划</w:t>
            </w:r>
          </w:p>
        </w:tc>
      </w:tr>
    </w:tbl>
    <w:p>
      <w:pPr>
        <w:keepNext w:val="0"/>
        <w:keepLines w:val="0"/>
        <w:pageBreakBefore w:val="0"/>
        <w:widowControl w:val="0"/>
        <w:kinsoku/>
        <w:wordWrap/>
        <w:overflowPunct/>
        <w:topLinePunct w:val="0"/>
        <w:autoSpaceDE/>
        <w:autoSpaceDN/>
        <w:bidi w:val="0"/>
        <w:adjustRightInd/>
        <w:snapToGrid w:val="0"/>
        <w:spacing w:before="120" w:after="120"/>
        <w:ind w:firstLine="480"/>
        <w:jc w:val="right"/>
        <w:textAlignment w:val="auto"/>
        <w:rPr>
          <w:rFonts w:hint="eastAsia"/>
        </w:rPr>
      </w:pPr>
      <w:r>
        <w:rPr>
          <w:rFonts w:hint="eastAsia"/>
        </w:rPr>
        <w:t xml:space="preserve">                                  </w:t>
      </w:r>
    </w:p>
    <w:p>
      <w:pPr>
        <w:keepNext w:val="0"/>
        <w:keepLines w:val="0"/>
        <w:pageBreakBefore w:val="0"/>
        <w:widowControl w:val="0"/>
        <w:kinsoku/>
        <w:wordWrap/>
        <w:overflowPunct/>
        <w:topLinePunct w:val="0"/>
        <w:autoSpaceDE/>
        <w:autoSpaceDN/>
        <w:bidi w:val="0"/>
        <w:adjustRightInd/>
        <w:snapToGrid w:val="0"/>
        <w:spacing w:before="120" w:after="120"/>
        <w:ind w:firstLine="480"/>
        <w:jc w:val="right"/>
        <w:textAlignment w:val="auto"/>
        <w:rPr>
          <w:rFonts w:hint="eastAsia"/>
        </w:rPr>
      </w:pPr>
    </w:p>
    <w:p>
      <w:pPr>
        <w:spacing w:before="120" w:after="120"/>
        <w:ind w:firstLine="480"/>
        <w:jc w:val="right"/>
        <w:rPr>
          <w:rFonts w:ascii="仿宋_GB2312" w:hAnsi="Times New Roman" w:eastAsia="仿宋_GB2312" w:cs="Calibri"/>
          <w:sz w:val="32"/>
          <w:szCs w:val="32"/>
        </w:rPr>
      </w:pPr>
      <w:r>
        <w:rPr>
          <w:rFonts w:hint="eastAsia" w:ascii="仿宋_GB2312" w:hAnsi="Times New Roman" w:eastAsia="仿宋_GB2312" w:cs="Calibri"/>
          <w:sz w:val="32"/>
          <w:szCs w:val="32"/>
        </w:rPr>
        <w:t>深圳市城市规划委员会</w:t>
      </w:r>
    </w:p>
    <w:p>
      <w:pPr>
        <w:spacing w:before="120" w:after="120"/>
        <w:ind w:firstLine="480"/>
        <w:jc w:val="right"/>
        <w:rPr>
          <w:rFonts w:ascii="仿宋_GB2312" w:hAnsi="Times New Roman" w:eastAsia="仿宋_GB2312" w:cs="Calibri"/>
          <w:sz w:val="32"/>
          <w:szCs w:val="32"/>
        </w:rPr>
      </w:pPr>
      <w:r>
        <w:rPr>
          <w:rFonts w:hint="eastAsia" w:ascii="仿宋_GB2312" w:hAnsi="Times New Roman" w:eastAsia="仿宋_GB2312" w:cs="Calibri"/>
          <w:sz w:val="32"/>
          <w:szCs w:val="32"/>
        </w:rPr>
        <w:t>深圳市</w:t>
      </w:r>
      <w:r>
        <w:rPr>
          <w:rFonts w:hint="eastAsia" w:ascii="仿宋_GB2312" w:hAnsi="Times New Roman" w:eastAsia="仿宋_GB2312" w:cs="Calibri"/>
          <w:sz w:val="32"/>
          <w:szCs w:val="32"/>
          <w:lang w:val="en-US" w:eastAsia="zh-CN"/>
        </w:rPr>
        <w:t>龙华区人民政府</w:t>
      </w:r>
    </w:p>
    <w:p>
      <w:pPr>
        <w:jc w:val="right"/>
        <w:rPr>
          <w:rFonts w:hint="eastAsia" w:ascii="仿宋_GB2312" w:hAnsi="Times New Roman" w:eastAsia="仿宋_GB2312" w:cs="Calibri"/>
          <w:sz w:val="32"/>
          <w:szCs w:val="32"/>
        </w:rPr>
      </w:pPr>
      <w:r>
        <w:rPr>
          <w:rFonts w:hint="eastAsia" w:ascii="仿宋_GB2312" w:hAnsi="Times New Roman" w:eastAsia="仿宋_GB2312" w:cs="Calibri"/>
          <w:sz w:val="32"/>
          <w:szCs w:val="32"/>
        </w:rPr>
        <w:t>202</w:t>
      </w:r>
      <w:r>
        <w:rPr>
          <w:rFonts w:hint="eastAsia" w:ascii="仿宋_GB2312" w:hAnsi="Times New Roman" w:eastAsia="仿宋_GB2312" w:cs="Calibri"/>
          <w:sz w:val="32"/>
          <w:szCs w:val="32"/>
          <w:lang w:val="en-US" w:eastAsia="zh-CN"/>
        </w:rPr>
        <w:t>3</w:t>
      </w:r>
      <w:r>
        <w:rPr>
          <w:rFonts w:hint="eastAsia" w:ascii="仿宋_GB2312" w:hAnsi="Times New Roman" w:eastAsia="仿宋_GB2312" w:cs="Calibri"/>
          <w:sz w:val="32"/>
          <w:szCs w:val="32"/>
        </w:rPr>
        <w:t>年</w:t>
      </w:r>
      <w:r>
        <w:rPr>
          <w:rFonts w:hint="default" w:ascii="仿宋_GB2312" w:hAnsi="Times New Roman" w:eastAsia="仿宋_GB2312" w:cs="Calibri"/>
          <w:sz w:val="32"/>
          <w:szCs w:val="32"/>
          <w:lang w:val="en" w:eastAsia="zh-CN"/>
        </w:rPr>
        <w:t>4</w:t>
      </w:r>
      <w:r>
        <w:rPr>
          <w:rFonts w:hint="eastAsia" w:ascii="仿宋_GB2312" w:hAnsi="Times New Roman" w:eastAsia="仿宋_GB2312" w:cs="Calibri"/>
          <w:sz w:val="32"/>
          <w:szCs w:val="32"/>
        </w:rPr>
        <w:t>月</w:t>
      </w:r>
      <w:r>
        <w:rPr>
          <w:rFonts w:hint="default" w:ascii="仿宋_GB2312" w:hAnsi="Times New Roman" w:eastAsia="仿宋_GB2312" w:cs="Calibri"/>
          <w:sz w:val="32"/>
          <w:szCs w:val="32"/>
          <w:lang w:val="en" w:eastAsia="zh-CN"/>
        </w:rPr>
        <w:t>4</w:t>
      </w:r>
      <w:bookmarkStart w:id="0" w:name="_GoBack"/>
      <w:bookmarkEnd w:id="0"/>
      <w:r>
        <w:rPr>
          <w:rFonts w:hint="eastAsia" w:ascii="仿宋_GB2312" w:hAnsi="Times New Roman" w:eastAsia="仿宋_GB2312" w:cs="Calibri"/>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4MzAzYmU3NzE4YzFhNWEzZGM1MTk3YWZkNTZjNzQifQ=="/>
  </w:docVars>
  <w:rsids>
    <w:rsidRoot w:val="00E7128C"/>
    <w:rsid w:val="00006A9A"/>
    <w:rsid w:val="00013F59"/>
    <w:rsid w:val="00042E5C"/>
    <w:rsid w:val="000541B7"/>
    <w:rsid w:val="00060226"/>
    <w:rsid w:val="000631FB"/>
    <w:rsid w:val="00091A53"/>
    <w:rsid w:val="000A17E0"/>
    <w:rsid w:val="000B4329"/>
    <w:rsid w:val="000B4EC8"/>
    <w:rsid w:val="000C1CDA"/>
    <w:rsid w:val="000C27FA"/>
    <w:rsid w:val="000D501C"/>
    <w:rsid w:val="00112367"/>
    <w:rsid w:val="00122A44"/>
    <w:rsid w:val="00126058"/>
    <w:rsid w:val="0012676D"/>
    <w:rsid w:val="00147483"/>
    <w:rsid w:val="00183080"/>
    <w:rsid w:val="001903B9"/>
    <w:rsid w:val="0019306E"/>
    <w:rsid w:val="001A2895"/>
    <w:rsid w:val="001B2F17"/>
    <w:rsid w:val="001B3E83"/>
    <w:rsid w:val="001C3FB8"/>
    <w:rsid w:val="001D08A3"/>
    <w:rsid w:val="001D5957"/>
    <w:rsid w:val="001F1E17"/>
    <w:rsid w:val="001F7692"/>
    <w:rsid w:val="002153D7"/>
    <w:rsid w:val="0022034C"/>
    <w:rsid w:val="002250A5"/>
    <w:rsid w:val="00240E8D"/>
    <w:rsid w:val="00247B81"/>
    <w:rsid w:val="00256BAC"/>
    <w:rsid w:val="002728C8"/>
    <w:rsid w:val="00286FF6"/>
    <w:rsid w:val="00287499"/>
    <w:rsid w:val="00292D4A"/>
    <w:rsid w:val="002B41D8"/>
    <w:rsid w:val="002C4EC6"/>
    <w:rsid w:val="002C5C2B"/>
    <w:rsid w:val="002F1F97"/>
    <w:rsid w:val="002F205A"/>
    <w:rsid w:val="002F2C8E"/>
    <w:rsid w:val="00333E06"/>
    <w:rsid w:val="00341291"/>
    <w:rsid w:val="00341E7F"/>
    <w:rsid w:val="0035144E"/>
    <w:rsid w:val="003610F8"/>
    <w:rsid w:val="00364322"/>
    <w:rsid w:val="00376395"/>
    <w:rsid w:val="00380B84"/>
    <w:rsid w:val="003956C1"/>
    <w:rsid w:val="003A1070"/>
    <w:rsid w:val="003A21FE"/>
    <w:rsid w:val="003B614F"/>
    <w:rsid w:val="003C52DE"/>
    <w:rsid w:val="003C7D90"/>
    <w:rsid w:val="003D11E6"/>
    <w:rsid w:val="003E1EF8"/>
    <w:rsid w:val="00411E6A"/>
    <w:rsid w:val="00413C87"/>
    <w:rsid w:val="0041674D"/>
    <w:rsid w:val="0041770C"/>
    <w:rsid w:val="00423120"/>
    <w:rsid w:val="00445577"/>
    <w:rsid w:val="00467515"/>
    <w:rsid w:val="00472DB9"/>
    <w:rsid w:val="0048020A"/>
    <w:rsid w:val="00487141"/>
    <w:rsid w:val="00494108"/>
    <w:rsid w:val="004D5746"/>
    <w:rsid w:val="004F0687"/>
    <w:rsid w:val="004F6D46"/>
    <w:rsid w:val="00503261"/>
    <w:rsid w:val="0052647C"/>
    <w:rsid w:val="00532CEA"/>
    <w:rsid w:val="0055401C"/>
    <w:rsid w:val="0056419E"/>
    <w:rsid w:val="00565EA5"/>
    <w:rsid w:val="0056651A"/>
    <w:rsid w:val="00573606"/>
    <w:rsid w:val="0057476E"/>
    <w:rsid w:val="00577B48"/>
    <w:rsid w:val="005B43C1"/>
    <w:rsid w:val="005C050E"/>
    <w:rsid w:val="005C708A"/>
    <w:rsid w:val="005D3F10"/>
    <w:rsid w:val="005F6C92"/>
    <w:rsid w:val="006414A2"/>
    <w:rsid w:val="006767F9"/>
    <w:rsid w:val="00681352"/>
    <w:rsid w:val="00687BA8"/>
    <w:rsid w:val="00694CDE"/>
    <w:rsid w:val="006B196D"/>
    <w:rsid w:val="006C78DC"/>
    <w:rsid w:val="006F1174"/>
    <w:rsid w:val="00706A80"/>
    <w:rsid w:val="00726099"/>
    <w:rsid w:val="00732343"/>
    <w:rsid w:val="007469B4"/>
    <w:rsid w:val="00765558"/>
    <w:rsid w:val="00773569"/>
    <w:rsid w:val="007968CC"/>
    <w:rsid w:val="007A0C2C"/>
    <w:rsid w:val="007A1305"/>
    <w:rsid w:val="007C5125"/>
    <w:rsid w:val="007D46A8"/>
    <w:rsid w:val="007E18FE"/>
    <w:rsid w:val="007F4A3E"/>
    <w:rsid w:val="008146CB"/>
    <w:rsid w:val="00824644"/>
    <w:rsid w:val="00826723"/>
    <w:rsid w:val="00832DCE"/>
    <w:rsid w:val="00834C4E"/>
    <w:rsid w:val="00837294"/>
    <w:rsid w:val="00837D90"/>
    <w:rsid w:val="008433AA"/>
    <w:rsid w:val="00843755"/>
    <w:rsid w:val="008604D3"/>
    <w:rsid w:val="00862663"/>
    <w:rsid w:val="00866132"/>
    <w:rsid w:val="00893083"/>
    <w:rsid w:val="008A0BD8"/>
    <w:rsid w:val="008A346E"/>
    <w:rsid w:val="008A6BC7"/>
    <w:rsid w:val="008B1BAB"/>
    <w:rsid w:val="008C5987"/>
    <w:rsid w:val="008E22B5"/>
    <w:rsid w:val="00903A2C"/>
    <w:rsid w:val="00925383"/>
    <w:rsid w:val="00926512"/>
    <w:rsid w:val="009509B6"/>
    <w:rsid w:val="00950B7F"/>
    <w:rsid w:val="009603F5"/>
    <w:rsid w:val="0096597C"/>
    <w:rsid w:val="00966FB8"/>
    <w:rsid w:val="0099670B"/>
    <w:rsid w:val="009B3556"/>
    <w:rsid w:val="009B77E8"/>
    <w:rsid w:val="009C7AB9"/>
    <w:rsid w:val="009E5C54"/>
    <w:rsid w:val="009F4999"/>
    <w:rsid w:val="00A15298"/>
    <w:rsid w:val="00A31843"/>
    <w:rsid w:val="00A33048"/>
    <w:rsid w:val="00A346B2"/>
    <w:rsid w:val="00A357C7"/>
    <w:rsid w:val="00A437B1"/>
    <w:rsid w:val="00A50427"/>
    <w:rsid w:val="00A55940"/>
    <w:rsid w:val="00A726E1"/>
    <w:rsid w:val="00AA0B08"/>
    <w:rsid w:val="00AB5914"/>
    <w:rsid w:val="00AC144D"/>
    <w:rsid w:val="00AC3764"/>
    <w:rsid w:val="00AE1458"/>
    <w:rsid w:val="00AE1CA6"/>
    <w:rsid w:val="00B13F90"/>
    <w:rsid w:val="00B2686B"/>
    <w:rsid w:val="00B762A8"/>
    <w:rsid w:val="00B90161"/>
    <w:rsid w:val="00BB2AC8"/>
    <w:rsid w:val="00BD2A91"/>
    <w:rsid w:val="00C020CD"/>
    <w:rsid w:val="00C20EB6"/>
    <w:rsid w:val="00C307BA"/>
    <w:rsid w:val="00C468B0"/>
    <w:rsid w:val="00C51E65"/>
    <w:rsid w:val="00C52FF7"/>
    <w:rsid w:val="00C652CB"/>
    <w:rsid w:val="00C70D93"/>
    <w:rsid w:val="00C82097"/>
    <w:rsid w:val="00C8391B"/>
    <w:rsid w:val="00C87868"/>
    <w:rsid w:val="00C9244A"/>
    <w:rsid w:val="00CC0B76"/>
    <w:rsid w:val="00CC7560"/>
    <w:rsid w:val="00D11CE7"/>
    <w:rsid w:val="00D2654B"/>
    <w:rsid w:val="00D33EBD"/>
    <w:rsid w:val="00D3499C"/>
    <w:rsid w:val="00D404E9"/>
    <w:rsid w:val="00D51AF2"/>
    <w:rsid w:val="00D54C31"/>
    <w:rsid w:val="00D703CE"/>
    <w:rsid w:val="00D76474"/>
    <w:rsid w:val="00D939CC"/>
    <w:rsid w:val="00DA55E8"/>
    <w:rsid w:val="00DC07BC"/>
    <w:rsid w:val="00DC53AA"/>
    <w:rsid w:val="00DE559B"/>
    <w:rsid w:val="00E55A6E"/>
    <w:rsid w:val="00E565FC"/>
    <w:rsid w:val="00E62314"/>
    <w:rsid w:val="00E7128C"/>
    <w:rsid w:val="00E745D2"/>
    <w:rsid w:val="00E85802"/>
    <w:rsid w:val="00EA66FF"/>
    <w:rsid w:val="00EB1003"/>
    <w:rsid w:val="00EB70D5"/>
    <w:rsid w:val="00EC2F5B"/>
    <w:rsid w:val="00EC5988"/>
    <w:rsid w:val="00ED3C05"/>
    <w:rsid w:val="00ED5775"/>
    <w:rsid w:val="00ED7CF5"/>
    <w:rsid w:val="00EE6268"/>
    <w:rsid w:val="00EE66A6"/>
    <w:rsid w:val="00EE675D"/>
    <w:rsid w:val="00EF3609"/>
    <w:rsid w:val="00F17005"/>
    <w:rsid w:val="00F17BB8"/>
    <w:rsid w:val="00F22566"/>
    <w:rsid w:val="00F2509B"/>
    <w:rsid w:val="00F3121A"/>
    <w:rsid w:val="00F34FB6"/>
    <w:rsid w:val="00F3692F"/>
    <w:rsid w:val="00F424A5"/>
    <w:rsid w:val="00F43A02"/>
    <w:rsid w:val="00F44E08"/>
    <w:rsid w:val="00F757EF"/>
    <w:rsid w:val="00F979E8"/>
    <w:rsid w:val="00FA0658"/>
    <w:rsid w:val="00FA627D"/>
    <w:rsid w:val="00FB099A"/>
    <w:rsid w:val="00FB546E"/>
    <w:rsid w:val="00FD312F"/>
    <w:rsid w:val="00FF607F"/>
    <w:rsid w:val="13C20EF5"/>
    <w:rsid w:val="2A152273"/>
    <w:rsid w:val="3861438A"/>
    <w:rsid w:val="3FC64F1C"/>
    <w:rsid w:val="412B6758"/>
    <w:rsid w:val="57026798"/>
    <w:rsid w:val="65493C57"/>
    <w:rsid w:val="65FC7494"/>
    <w:rsid w:val="77204EF2"/>
    <w:rsid w:val="783E2D79"/>
    <w:rsid w:val="784D63B8"/>
    <w:rsid w:val="BEFE7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批注框文本 字符"/>
    <w:basedOn w:val="7"/>
    <w:link w:val="2"/>
    <w:qFormat/>
    <w:uiPriority w:val="99"/>
    <w:rPr>
      <w:sz w:val="18"/>
      <w:szCs w:val="18"/>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3</Pages>
  <Words>171</Words>
  <Characters>978</Characters>
  <Lines>8</Lines>
  <Paragraphs>2</Paragraphs>
  <TotalTime>0</TotalTime>
  <ScaleCrop>false</ScaleCrop>
  <LinksUpToDate>false</LinksUpToDate>
  <CharactersWithSpaces>1147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2019-09-17T09:34:00Z</dcterms:created>
  <dc:creator>谭权</dc:creator>
  <cp:lastModifiedBy>jxy</cp:lastModifiedBy>
  <dcterms:modified xsi:type="dcterms:W3CDTF">2023-04-04T10:17:54Z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145D6A7EAF0D4FD2ABE6560511593FC0</vt:lpwstr>
  </property>
</Properties>
</file>