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widowControl/>
        <w:suppressLineNumbers w:val="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sz w:val="32"/>
          <w:szCs w:val="32"/>
        </w:rPr>
        <w:t>《食品安全国家标准 糕点、 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eastAsia="仿宋_GB2312" w:cs="仿宋"/>
          <w:color w:val="auto"/>
          <w:kern w:val="2"/>
          <w:sz w:val="32"/>
          <w:szCs w:val="32"/>
          <w:lang w:val="en-US" w:eastAsia="zh-CN" w:bidi="ar-SA"/>
        </w:rPr>
        <w:t>食用过氧化值过高的食品可能会导致肠胃不适、腹泻等症状。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olor w:val="000000" w:themeColor="text1"/>
          <w:sz w:val="32"/>
          <w:szCs w:val="32"/>
          <w14:textFill>
            <w14:solidFill>
              <w14:schemeClr w14:val="tx1"/>
            </w14:solidFill>
          </w14:textFill>
        </w:rPr>
        <w:t>《食品安全国家标准 蜜饯》</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14884-2016</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s="仿宋"/>
          <w:sz w:val="32"/>
          <w:szCs w:val="32"/>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CFU/g），则这种情况也是不允许的。《食品馅料》</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GB/T 21270-2007</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s="仿宋"/>
          <w:sz w:val="32"/>
          <w:szCs w:val="32"/>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（三）甜蜜素(以环己基氨基磺酸计)</w:t>
      </w:r>
    </w:p>
    <w:p>
      <w:pPr>
        <w:spacing w:line="560" w:lineRule="exact"/>
        <w:ind w:firstLine="640" w:firstLineChars="200"/>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2760-2014）中规定，白酒中不得使用甜蜜素(以环己基氨基磺酸计）。长期食用甜蜜素不合格的食品，可能会对代谢排毒能力较弱人群的健康产生一定的影响。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bookmarkStart w:id="0" w:name="_GoBack"/>
      <w:bookmarkEnd w:id="0"/>
      <w:r>
        <w:rPr>
          <w:rFonts w:hint="eastAsia" w:ascii="方正楷体_GB2312" w:hAnsi="方正楷体_GB2312" w:eastAsia="方正楷体_GB2312" w:cs="方正楷体_GB2312"/>
          <w:b/>
          <w:sz w:val="32"/>
          <w:szCs w:val="32"/>
          <w:lang w:val="en-US" w:eastAsia="zh-CN"/>
        </w:rPr>
        <w:t>（四）还原糖分</w:t>
      </w:r>
    </w:p>
    <w:p>
      <w:pPr>
        <w:pStyle w:val="2"/>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宋体"/>
          <w:b w:val="0"/>
          <w:color w:val="000000"/>
          <w:kern w:val="0"/>
          <w:sz w:val="32"/>
          <w:szCs w:val="32"/>
          <w:lang w:val="en-US" w:eastAsia="zh-CN" w:bidi="ar-SA"/>
        </w:rPr>
      </w:pPr>
      <w:r>
        <w:rPr>
          <w:rFonts w:hint="eastAsia" w:ascii="仿宋_GB2312" w:hAnsi="仿宋" w:eastAsia="仿宋_GB2312" w:cs="宋体"/>
          <w:b w:val="0"/>
          <w:color w:val="000000"/>
          <w:kern w:val="0"/>
          <w:sz w:val="32"/>
          <w:szCs w:val="32"/>
          <w:lang w:val="en-US" w:eastAsia="zh-CN" w:bidi="ar-SA"/>
        </w:rPr>
        <w:t>还原糖分是食糖的质量指标之一，反映了食糖中还原糖的含量，还原糖含量会影响食糖的</w:t>
      </w:r>
      <w:r>
        <w:rPr>
          <w:rFonts w:hint="eastAsia" w:ascii="仿宋_GB2312" w:hAnsi="仿宋" w:eastAsia="仿宋_GB2312" w:cs="Times New Roman"/>
          <w:b w:val="0"/>
          <w:kern w:val="2"/>
          <w:sz w:val="32"/>
          <w:szCs w:val="32"/>
          <w:lang w:val="en-US" w:eastAsia="zh-CN" w:bidi="ar-SA"/>
        </w:rPr>
        <w:t>口感、外观等。《冰糖》（GB/T 35883-2018）中规定一级冰糖中的还原糖分应≤0.08g/100g。还原糖分高的食糖易吸潮，</w:t>
      </w:r>
      <w:r>
        <w:rPr>
          <w:rFonts w:hint="eastAsia" w:ascii="仿宋_GB2312" w:hAnsi="仿宋" w:eastAsia="仿宋_GB2312" w:cs="宋体"/>
          <w:b w:val="0"/>
          <w:color w:val="000000"/>
          <w:kern w:val="0"/>
          <w:sz w:val="32"/>
          <w:szCs w:val="32"/>
          <w:lang w:val="en-US" w:eastAsia="zh-CN" w:bidi="ar-SA"/>
        </w:rPr>
        <w:t>易滋生微生物，导致食糖变质，不利于保存。</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（五）酒精度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宋体" w:eastAsia="仿宋_GB2312" w:cs="宋体"/>
          <w:kern w:val="0"/>
          <w:sz w:val="32"/>
          <w:szCs w:val="32"/>
        </w:rPr>
      </w:pPr>
      <w:r>
        <w:rPr>
          <w:rFonts w:hint="eastAsia" w:ascii="仿宋_GB2312" w:hAnsi="仿宋" w:eastAsia="仿宋_GB2312" w:cs="宋体"/>
          <w:b w:val="0"/>
          <w:color w:val="000000"/>
          <w:kern w:val="0"/>
          <w:sz w:val="32"/>
          <w:szCs w:val="32"/>
          <w:lang w:val="zh-CN" w:eastAsia="zh-CN" w:bidi="ar-SA"/>
        </w:rPr>
        <w:t>酒精度又叫酒度，是指在20℃时，100毫升酒中含有乙醇（酒精）的毫升数，即体积（容量）的百分数。</w:t>
      </w:r>
      <w:r>
        <w:rPr>
          <w:rFonts w:hint="eastAsia" w:ascii="仿宋_GB2312" w:hAnsi="仿宋" w:cs="宋体"/>
          <w:b w:val="0"/>
          <w:color w:val="000000"/>
          <w:kern w:val="0"/>
          <w:sz w:val="32"/>
          <w:szCs w:val="32"/>
          <w:lang w:val="en-US" w:eastAsia="zh-CN" w:bidi="ar-SA"/>
        </w:rPr>
        <w:t>企业标准</w:t>
      </w:r>
      <w:r>
        <w:rPr>
          <w:rFonts w:hint="eastAsia" w:ascii="仿宋_GB2312" w:hAnsi="仿宋" w:eastAsia="仿宋_GB2312" w:cs="宋体"/>
          <w:b w:val="0"/>
          <w:color w:val="000000"/>
          <w:kern w:val="0"/>
          <w:sz w:val="32"/>
          <w:szCs w:val="32"/>
          <w:lang w:val="zh-CN" w:eastAsia="zh-CN" w:bidi="ar-SA"/>
        </w:rPr>
        <w:t>《蒸馏酒配制酒》（Q/ YF 0001S-2021）</w:t>
      </w:r>
      <w:r>
        <w:rPr>
          <w:rFonts w:hint="eastAsia" w:ascii="仿宋_GB2312" w:hAnsi="仿宋" w:eastAsia="仿宋_GB2312" w:cs="宋体"/>
          <w:b w:val="0"/>
          <w:color w:val="000000"/>
          <w:kern w:val="0"/>
          <w:sz w:val="32"/>
          <w:szCs w:val="32"/>
          <w:lang w:val="en-US" w:eastAsia="zh-CN" w:bidi="ar-SA"/>
        </w:rPr>
        <w:t>中规定，</w:t>
      </w:r>
      <w:r>
        <w:rPr>
          <w:rFonts w:hint="eastAsia" w:ascii="仿宋_GB2312" w:hAnsi="仿宋" w:eastAsia="仿宋_GB2312" w:cs="宋体"/>
          <w:b w:val="0"/>
          <w:color w:val="000000"/>
          <w:kern w:val="0"/>
          <w:sz w:val="32"/>
          <w:szCs w:val="32"/>
          <w:lang w:val="zh-CN" w:eastAsia="zh-CN" w:bidi="ar-SA"/>
        </w:rPr>
        <w:t>实际</w:t>
      </w:r>
      <w:r>
        <w:rPr>
          <w:rFonts w:hint="eastAsia" w:ascii="仿宋_GB2312" w:hAnsi="宋体" w:eastAsia="仿宋_GB2312" w:cs="宋体"/>
          <w:kern w:val="0"/>
          <w:sz w:val="32"/>
          <w:szCs w:val="32"/>
        </w:rPr>
        <w:t>酒精度应在标示值±1.0%vol的偏差范围内。</w:t>
      </w:r>
      <w:r>
        <w:rPr>
          <w:rFonts w:hint="eastAsia" w:ascii="仿宋_GB2312" w:hAnsi="仿宋" w:eastAsia="仿宋_GB2312" w:cs="宋体"/>
          <w:b w:val="0"/>
          <w:color w:val="000000"/>
          <w:kern w:val="0"/>
          <w:sz w:val="32"/>
          <w:szCs w:val="32"/>
          <w:lang w:val="zh-CN" w:eastAsia="zh-CN" w:bidi="ar-SA"/>
        </w:rPr>
        <w:t>酒精度未达到产品标签明示要求的原因，可能是包装不严密造成酒精挥发；还可能是企业为降低成本，用低度酒冒充高度酒。</w:t>
      </w:r>
      <w:r>
        <w:rPr>
          <w:rFonts w:hint="eastAsia" w:ascii="仿宋_GB2312" w:hAnsi="宋体" w:eastAsia="仿宋_GB2312" w:cs="宋体"/>
          <w:kern w:val="0"/>
          <w:sz w:val="32"/>
          <w:szCs w:val="32"/>
        </w:rPr>
        <w:t>酒中酒精度不达标会影响酒类的品质及口感，此外由于产品实际酒精度与明示指标不符也可能对消费者构成欺骗行为。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（六）维生素A</w:t>
      </w:r>
    </w:p>
    <w:p>
      <w:pPr>
        <w:widowControl/>
        <w:jc w:val="left"/>
        <w:rPr>
          <w:rFonts w:ascii="仿宋_GB2312" w:hAnsi="仿宋" w:eastAsia="仿宋_GB2312" w:cs="宋体"/>
          <w:kern w:val="0"/>
          <w:sz w:val="32"/>
          <w:szCs w:val="32"/>
          <w:lang w:val="zh-CN"/>
        </w:rPr>
      </w:pPr>
      <w:r>
        <w:rPr>
          <w:rFonts w:hint="eastAsia" w:ascii="仿宋_GB2312" w:hAnsi="宋体" w:eastAsia="仿宋_GB2312" w:cs="宋体"/>
          <w:kern w:val="0"/>
          <w:sz w:val="32"/>
          <w:szCs w:val="32"/>
        </w:rPr>
        <w:t>维生素A又称维生素甲、视黄醇等，为脂溶性维生素品种，有助于维持暗视力和皮肤</w:t>
      </w:r>
      <w:r>
        <w:rPr>
          <w:rFonts w:hint="eastAsia" w:ascii="仿宋_GB2312" w:hAnsi="宋体" w:cs="宋体"/>
          <w:color w:val="0000FF"/>
          <w:kern w:val="0"/>
          <w:sz w:val="32"/>
          <w:szCs w:val="32"/>
          <w:lang w:eastAsia="zh-CN"/>
        </w:rPr>
        <w:t>、</w:t>
      </w:r>
      <w:r>
        <w:rPr>
          <w:rFonts w:hint="eastAsia" w:ascii="仿宋_GB2312" w:hAnsi="宋体" w:eastAsia="仿宋_GB2312" w:cs="宋体"/>
          <w:kern w:val="0"/>
          <w:sz w:val="32"/>
          <w:szCs w:val="32"/>
        </w:rPr>
        <w:t>粘膜健康，可提高机体免疫功能、促进生长和骨骼发育，是婴幼儿谷类辅助食品的基本营养成分。《食品安全国家标准  婴幼儿谷类辅助食品》（GB 10769-2010）中规定，婴幼儿谷类辅助食品中维生素A</w:t>
      </w:r>
      <w:r>
        <w:rPr>
          <w:rFonts w:hint="eastAsia" w:ascii="仿宋_GB2312" w:hAnsi="宋体" w:cs="宋体"/>
          <w:kern w:val="0"/>
          <w:sz w:val="32"/>
          <w:szCs w:val="32"/>
          <w:lang w:val="en-US" w:eastAsia="zh-CN"/>
        </w:rPr>
        <w:t>应在14～43（</w:t>
      </w:r>
      <w:r>
        <w:rPr>
          <w:rFonts w:hint="eastAsia" w:ascii="仿宋_GB2312" w:hAnsi="宋体" w:eastAsia="仿宋_GB2312" w:cs="宋体"/>
          <w:kern w:val="0"/>
          <w:sz w:val="32"/>
          <w:szCs w:val="32"/>
        </w:rPr>
        <w:t>μgRE/100kJ</w:t>
      </w:r>
      <w:r>
        <w:rPr>
          <w:rFonts w:hint="eastAsia" w:ascii="仿宋_GB2312" w:hAnsi="宋体" w:cs="宋体"/>
          <w:kern w:val="0"/>
          <w:sz w:val="32"/>
          <w:szCs w:val="32"/>
          <w:lang w:val="en-US" w:eastAsia="zh-CN"/>
        </w:rPr>
        <w:t>）范围内</w:t>
      </w:r>
      <w:r>
        <w:rPr>
          <w:rFonts w:hint="eastAsia" w:ascii="仿宋_GB2312" w:hAnsi="宋体" w:eastAsia="仿宋_GB2312" w:cs="宋体"/>
          <w:kern w:val="0"/>
          <w:sz w:val="32"/>
          <w:szCs w:val="32"/>
        </w:rPr>
        <w:t>，并且《食品安全国家标准 预包装特殊膳食用食品标签》（GB 13432-2013）中规定，营养成分的实际含量不应低于标示值的80%，并应符合相应产品标准的要求。</w:t>
      </w:r>
      <w:r>
        <w:rPr>
          <w:rFonts w:ascii="仿宋_GB2312" w:hAnsi="仿宋" w:eastAsia="仿宋_GB2312" w:cs="宋体"/>
          <w:kern w:val="0"/>
          <w:sz w:val="32"/>
          <w:szCs w:val="32"/>
          <w:lang w:val="zh-CN"/>
        </w:rPr>
        <w:t>维生素A含量不达标原因，可能是由于受生产工艺条件的限制，在生产加工过程中损耗了大量的营养物质；企业未按标签明示值或企业标准的要求进行添加等。</w:t>
      </w:r>
    </w:p>
    <w:p>
      <w:pPr>
        <w:widowControl/>
        <w:shd w:val="clear" w:color="auto" w:fill="FEFEFE"/>
        <w:spacing w:line="560" w:lineRule="exact"/>
        <w:ind w:firstLine="494" w:firstLineChars="154"/>
        <w:rPr>
          <w:rFonts w:ascii="楷体_GB2312" w:hAnsi="微软雅黑" w:eastAsia="楷体_GB2312" w:cs="宋体"/>
          <w:b/>
          <w:color w:val="000000" w:themeColor="text1"/>
          <w:spacing w:val="23"/>
          <w:kern w:val="0"/>
          <w:sz w:val="32"/>
          <w:szCs w:val="32"/>
          <w14:textFill>
            <w14:solidFill>
              <w14:schemeClr w14:val="tx1"/>
            </w14:solidFill>
          </w14:textFill>
        </w:rPr>
      </w:pPr>
      <w:r>
        <w:rPr>
          <w:rFonts w:hint="eastAsia" w:ascii="方正楷体_GB2312" w:hAnsi="方正楷体_GB2312" w:eastAsia="方正楷体_GB2312" w:cs="方正楷体_GB2312"/>
          <w:b/>
          <w:sz w:val="32"/>
          <w:szCs w:val="32"/>
          <w:lang w:val="en-US" w:eastAsia="zh-CN"/>
        </w:rPr>
        <w:t>（七）阿维菌素</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阿维菌素是一种抗生素类杀虫、杀螨、杀线虫剂，具有广谱、高效、低残留等特点。《食品安全国家标准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）中规定，阿维菌素在</w:t>
      </w:r>
      <w:r>
        <w:rPr>
          <w:rFonts w:hint="eastAsia" w:ascii="仿宋_GB2312" w:hAnsi="仿宋" w:cs="宋体"/>
          <w:kern w:val="0"/>
          <w:sz w:val="32"/>
          <w:szCs w:val="32"/>
          <w:lang w:val="en-US" w:eastAsia="zh-CN"/>
        </w:rPr>
        <w:t>茼蒿</w:t>
      </w:r>
      <w:r>
        <w:rPr>
          <w:rFonts w:hint="eastAsia" w:ascii="仿宋_GB2312" w:hAnsi="仿宋" w:eastAsia="仿宋_GB2312" w:cs="宋体"/>
          <w:kern w:val="0"/>
          <w:sz w:val="32"/>
          <w:szCs w:val="32"/>
          <w:lang w:val="zh-CN"/>
        </w:rPr>
        <w:t>中的残留限量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0.05mg/kg。少量的农药残留不会引起人体急性中毒，但长期食用农药残留超标的食品，对人体健康有一定影响。</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倍硫磷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en-US" w:eastAsia="zh-CN"/>
        </w:rPr>
        <w:t>倍硫磷具有触杀、胃毒和熏蒸作用的有机磷农药。</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倍硫磷</w:t>
      </w:r>
      <w:r>
        <w:rPr>
          <w:rFonts w:hint="eastAsia" w:ascii="仿宋_GB2312" w:hAnsi="仿宋" w:eastAsia="仿宋_GB2312" w:cs="宋体"/>
          <w:kern w:val="0"/>
          <w:sz w:val="32"/>
          <w:szCs w:val="32"/>
          <w:lang w:val="zh-CN"/>
        </w:rPr>
        <w:t>在</w:t>
      </w:r>
      <w:r>
        <w:rPr>
          <w:rFonts w:hint="eastAsia" w:ascii="仿宋_GB2312" w:hAnsi="仿宋" w:cs="宋体"/>
          <w:kern w:val="0"/>
          <w:sz w:val="32"/>
          <w:szCs w:val="32"/>
          <w:lang w:val="en-US" w:eastAsia="zh-CN"/>
        </w:rPr>
        <w:t>豆类蔬菜</w:t>
      </w:r>
      <w:r>
        <w:rPr>
          <w:rFonts w:hint="eastAsia" w:ascii="仿宋_GB2312" w:hAnsi="仿宋" w:eastAsia="仿宋_GB2312" w:cs="宋体"/>
          <w:kern w:val="0"/>
          <w:sz w:val="32"/>
          <w:szCs w:val="32"/>
          <w:lang w:val="zh-CN"/>
        </w:rPr>
        <w:t>中的残留限量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w:t>
      </w:r>
      <w:r>
        <w:rPr>
          <w:rFonts w:hint="eastAsia" w:ascii="仿宋_GB2312" w:hAnsi="仿宋" w:eastAsia="仿宋_GB2312" w:cs="宋体"/>
          <w:kern w:val="0"/>
          <w:sz w:val="32"/>
          <w:szCs w:val="32"/>
          <w:lang w:val="en-US" w:eastAsia="zh-CN"/>
        </w:rPr>
        <w:t xml:space="preserve">食用食品一般不会导致倍硫磷的急性中毒，但长期食用倍硫磷超标的食品，对人体健康有一定影响。 </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吡虫啉</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吡虫啉</w:t>
      </w:r>
      <w:r>
        <w:rPr>
          <w:rFonts w:hint="eastAsia" w:ascii="仿宋_GB2312" w:hAnsi="仿宋" w:cs="宋体"/>
          <w:kern w:val="0"/>
          <w:sz w:val="32"/>
          <w:szCs w:val="32"/>
          <w:lang w:val="en-US" w:eastAsia="zh-CN"/>
        </w:rPr>
        <w:t>是一种</w:t>
      </w:r>
      <w:r>
        <w:rPr>
          <w:rFonts w:hint="eastAsia" w:ascii="仿宋_GB2312" w:hAnsi="仿宋" w:eastAsia="仿宋_GB2312" w:cs="宋体"/>
          <w:kern w:val="0"/>
          <w:sz w:val="32"/>
          <w:szCs w:val="32"/>
          <w:lang w:val="en-US" w:eastAsia="zh-CN"/>
        </w:rPr>
        <w:t>内吸性杀虫剂，可层间传导，具有触杀和胃毒作用。</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吡虫啉</w:t>
      </w:r>
      <w:r>
        <w:rPr>
          <w:rFonts w:hint="eastAsia" w:ascii="仿宋_GB2312" w:hAnsi="仿宋" w:eastAsia="仿宋_GB2312" w:cs="宋体"/>
          <w:kern w:val="0"/>
          <w:sz w:val="32"/>
          <w:szCs w:val="32"/>
          <w:lang w:val="zh-CN"/>
        </w:rPr>
        <w:t>在</w:t>
      </w:r>
      <w:r>
        <w:rPr>
          <w:rFonts w:hint="eastAsia" w:ascii="仿宋_GB2312" w:hAnsi="仿宋" w:cs="宋体"/>
          <w:kern w:val="0"/>
          <w:sz w:val="32"/>
          <w:szCs w:val="32"/>
          <w:lang w:val="en-US" w:eastAsia="zh-CN"/>
        </w:rPr>
        <w:t>香蕉</w:t>
      </w:r>
      <w:r>
        <w:rPr>
          <w:rFonts w:hint="eastAsia" w:ascii="仿宋_GB2312" w:hAnsi="仿宋" w:eastAsia="仿宋_GB2312" w:cs="宋体"/>
          <w:kern w:val="0"/>
          <w:sz w:val="32"/>
          <w:szCs w:val="32"/>
          <w:lang w:val="zh-CN"/>
        </w:rPr>
        <w:t>中的残留限量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w:t>
      </w:r>
      <w:r>
        <w:rPr>
          <w:rFonts w:hint="eastAsia" w:ascii="仿宋_GB2312" w:hAnsi="仿宋" w:cs="宋体"/>
          <w:kern w:val="0"/>
          <w:sz w:val="32"/>
          <w:szCs w:val="32"/>
          <w:lang w:val="en-US" w:eastAsia="zh-CN"/>
        </w:rPr>
        <w:t>食用吡虫啉超标的食品可能会导致</w:t>
      </w:r>
      <w:r>
        <w:rPr>
          <w:rFonts w:hint="eastAsia" w:ascii="仿宋_GB2312" w:hAnsi="仿宋" w:eastAsia="仿宋_GB2312" w:cs="宋体"/>
          <w:kern w:val="0"/>
          <w:sz w:val="32"/>
          <w:szCs w:val="32"/>
          <w:lang w:val="en-US" w:eastAsia="zh-CN"/>
        </w:rPr>
        <w:t>恶心、呕吐、头痛、乏力乏力、心跳过速等</w:t>
      </w:r>
      <w:r>
        <w:rPr>
          <w:rFonts w:hint="eastAsia" w:ascii="仿宋_GB2312" w:hAnsi="仿宋" w:cs="宋体"/>
          <w:kern w:val="0"/>
          <w:sz w:val="32"/>
          <w:szCs w:val="32"/>
          <w:lang w:val="en-US" w:eastAsia="zh-CN"/>
        </w:rPr>
        <w:t>症状</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毒死蜱</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zh-CN"/>
        </w:rPr>
        <w:t>毒死蜱是一种具有触杀、胃毒和熏蒸作用的有机磷杀虫剂。《食品安全国家标准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eastAsia="zh-CN"/>
        </w:rPr>
        <w:t>叶菜类蔬菜（芹菜除外）</w:t>
      </w:r>
      <w:r>
        <w:rPr>
          <w:rFonts w:hint="eastAsia" w:ascii="仿宋_GB2312" w:hAnsi="仿宋" w:eastAsia="仿宋_GB2312" w:cs="宋体"/>
          <w:kern w:val="0"/>
          <w:sz w:val="32"/>
          <w:szCs w:val="32"/>
          <w:lang w:val="zh-CN"/>
        </w:rPr>
        <w:t>的毒死蜱残留限量值</w:t>
      </w:r>
      <w:r>
        <w:rPr>
          <w:rFonts w:hint="eastAsia" w:ascii="仿宋_GB2312" w:hAnsi="仿宋" w:cs="宋体"/>
          <w:kern w:val="0"/>
          <w:sz w:val="32"/>
          <w:szCs w:val="32"/>
          <w:lang w:val="en-US" w:eastAsia="zh-CN"/>
        </w:rPr>
        <w:t>应</w:t>
      </w:r>
      <w:r>
        <w:rPr>
          <w:rFonts w:hint="eastAsia" w:ascii="仿宋_GB2312" w:hAnsi="仿宋" w:eastAsia="仿宋_GB2312" w:cs="宋体"/>
          <w:kern w:val="0"/>
          <w:sz w:val="32"/>
          <w:szCs w:val="32"/>
          <w:lang w:val="zh-CN"/>
        </w:rPr>
        <w:t>≤0.</w:t>
      </w:r>
      <w:r>
        <w:rPr>
          <w:rFonts w:hint="eastAsia" w:ascii="仿宋_GB2312" w:hAnsi="仿宋" w:eastAsia="仿宋_GB2312" w:cs="宋体"/>
          <w:kern w:val="0"/>
          <w:sz w:val="32"/>
          <w:szCs w:val="32"/>
          <w:lang w:val="en-US" w:eastAsia="zh-CN"/>
        </w:rPr>
        <w:t>02</w:t>
      </w:r>
      <w:r>
        <w:rPr>
          <w:rFonts w:hint="eastAsia" w:ascii="仿宋_GB2312" w:hAnsi="仿宋" w:eastAsia="仿宋_GB2312" w:cs="宋体"/>
          <w:kern w:val="0"/>
          <w:sz w:val="32"/>
          <w:szCs w:val="32"/>
          <w:lang w:val="zh-CN"/>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恩诺沙星</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均规定，恩诺沙星可用于猪、牛、羊、兔、鱼等食用畜禽、水产动物，其中水产品中恩诺沙星(以恩诺沙星与环丙沙星之和计)应≤100μg/kg。老年人、儿童及低免疫力人群摄入较多恩诺沙星不合格的产品，可引起轻度胃肠道不适、头痛、头晕等症状，并产生耐药性。</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甲硝唑</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甲硝唑是一种抗生素和抗原虫剂，有强大的杀灭滴虫的作用，对厌氧微生物有杀灭作用，广泛地应用于抗厌氧菌感染。《食品安全国家标准 食品中兽药最大残留限量》（GB 31650-2019）中规定，甲硝唑不得在动物性食品中检出。长期食用甲硝唑超标的食品可能会引起胃肠道反应恶心、呕吐、食欲不振、腹胀、腹泻等。</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克百威是一种具有内吸、触杀和胃毒作用的氨基甲酸酯类杀虫剂。《食品安全国家标准 食品中农药最大残留限量》（GB 2763-20</w:t>
      </w:r>
      <w:r>
        <w:rPr>
          <w:rFonts w:hint="eastAsia" w:ascii="仿宋_GB2312" w:hAnsi="仿宋" w:eastAsia="仿宋_GB2312" w:cs="宋体"/>
          <w:kern w:val="0"/>
          <w:sz w:val="32"/>
          <w:szCs w:val="32"/>
          <w:lang w:val="en-US" w:eastAsia="zh-CN" w:bidi="ar-SA"/>
        </w:rPr>
        <w:t>21</w:t>
      </w:r>
      <w:r>
        <w:rPr>
          <w:rFonts w:hint="eastAsia" w:ascii="仿宋_GB2312" w:hAnsi="仿宋" w:eastAsia="仿宋_GB2312" w:cs="宋体"/>
          <w:kern w:val="0"/>
          <w:sz w:val="32"/>
          <w:szCs w:val="32"/>
          <w:lang w:val="zh-CN" w:eastAsia="zh-CN" w:bidi="ar-SA"/>
        </w:rPr>
        <w:t>）中规定，豆类蔬菜中克百威（克百威和3-羟基克百威之和，以克百威计）</w:t>
      </w:r>
      <w:r>
        <w:rPr>
          <w:rFonts w:hint="eastAsia" w:ascii="仿宋_GB2312" w:hAnsi="仿宋" w:eastAsia="仿宋_GB2312" w:cs="宋体"/>
          <w:kern w:val="0"/>
          <w:sz w:val="32"/>
          <w:szCs w:val="32"/>
          <w:lang w:val="zh-CN"/>
        </w:rPr>
        <w:t>残留限量值</w:t>
      </w:r>
      <w:r>
        <w:rPr>
          <w:rFonts w:hint="eastAsia" w:ascii="仿宋_GB2312" w:hAnsi="仿宋" w:eastAsia="仿宋_GB2312" w:cs="宋体"/>
          <w:kern w:val="0"/>
          <w:sz w:val="32"/>
          <w:szCs w:val="32"/>
          <w:lang w:val="zh-CN" w:eastAsia="zh-CN" w:bidi="ar-SA"/>
        </w:rPr>
        <w:t>应≤0.02 mg/kg。克百威对鱼类、鸟类及野生动物有害。对在施药区觅食的鸟类可能致命，这种误食致死的鸟尸可能还会对其他鹰类及肉食鸟类造成危险，并且该农药不易降解，容易造成环境污染。</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灭蝇胺</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灭蝇胺又名环丙氨嗪，为一种新型高效、低毒、含氮杂环类杀虫剂，是目前防治双翅目昆虫病虫害效果较好的生态农药。《食品安全国家标准食品中农药最大残留限量》（GB</w:t>
      </w:r>
      <w:r>
        <w:rPr>
          <w:rFonts w:hint="eastAsia" w:ascii="仿宋_GB2312" w:hAnsi="仿宋" w:eastAsia="仿宋_GB2312" w:cs="宋体"/>
          <w:kern w:val="0"/>
          <w:sz w:val="32"/>
          <w:szCs w:val="32"/>
          <w:lang w:val="en-US" w:eastAsia="zh-CN" w:bidi="ar-SA"/>
        </w:rPr>
        <w:t xml:space="preserve"> </w:t>
      </w:r>
      <w:r>
        <w:rPr>
          <w:rFonts w:hint="eastAsia" w:ascii="仿宋_GB2312" w:hAnsi="仿宋" w:eastAsia="仿宋_GB2312" w:cs="宋体"/>
          <w:kern w:val="0"/>
          <w:sz w:val="32"/>
          <w:szCs w:val="32"/>
          <w:lang w:val="zh-CN" w:eastAsia="zh-CN" w:bidi="ar-SA"/>
        </w:rPr>
        <w:t>2763</w:t>
      </w:r>
      <w:r>
        <w:rPr>
          <w:rFonts w:hint="eastAsia" w:ascii="仿宋_GB2312" w:hAnsi="仿宋" w:eastAsia="仿宋_GB2312" w:cs="宋体"/>
          <w:kern w:val="0"/>
          <w:sz w:val="32"/>
          <w:szCs w:val="32"/>
          <w:lang w:val="en-US" w:eastAsia="zh-CN" w:bidi="ar-SA"/>
        </w:rPr>
        <w:t>-2021</w:t>
      </w:r>
      <w:r>
        <w:rPr>
          <w:rFonts w:hint="eastAsia" w:ascii="仿宋_GB2312" w:hAnsi="仿宋" w:eastAsia="仿宋_GB2312" w:cs="宋体"/>
          <w:kern w:val="0"/>
          <w:sz w:val="32"/>
          <w:szCs w:val="32"/>
          <w:lang w:val="zh-CN" w:eastAsia="zh-CN" w:bidi="ar-SA"/>
        </w:rPr>
        <w:t>）中规定，灭蝇胺在豇豆中的</w:t>
      </w:r>
      <w:r>
        <w:rPr>
          <w:rFonts w:hint="eastAsia" w:ascii="仿宋_GB2312" w:hAnsi="仿宋" w:eastAsia="仿宋_GB2312" w:cs="宋体"/>
          <w:kern w:val="0"/>
          <w:sz w:val="32"/>
          <w:szCs w:val="32"/>
          <w:lang w:val="zh-CN"/>
        </w:rPr>
        <w:t>残留限量值</w:t>
      </w:r>
      <w:r>
        <w:rPr>
          <w:rFonts w:hint="eastAsia" w:ascii="仿宋_GB2312" w:hAnsi="仿宋" w:eastAsia="仿宋_GB2312" w:cs="宋体"/>
          <w:kern w:val="0"/>
          <w:sz w:val="32"/>
          <w:szCs w:val="32"/>
          <w:lang w:val="zh-CN" w:eastAsia="zh-CN" w:bidi="ar-SA"/>
        </w:rPr>
        <w:t>应≤0.5mg/kg。少量的农药残留不会引起人体急性中毒，但长期食用农药残留超标的食品，对人体健康有一定影响。</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噻虫胺</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en-US" w:eastAsia="zh-CN" w:bidi="ar-SA"/>
        </w:rPr>
        <w:t>噻虫胺</w:t>
      </w:r>
      <w:r>
        <w:rPr>
          <w:rFonts w:hint="eastAsia" w:ascii="仿宋_GB2312" w:hAnsi="仿宋" w:cs="宋体"/>
          <w:kern w:val="0"/>
          <w:sz w:val="32"/>
          <w:szCs w:val="32"/>
          <w:lang w:val="en-US" w:eastAsia="zh-CN" w:bidi="ar-SA"/>
        </w:rPr>
        <w:t>是一种</w:t>
      </w:r>
      <w:r>
        <w:rPr>
          <w:rFonts w:hint="eastAsia" w:ascii="仿宋_GB2312" w:hAnsi="仿宋" w:eastAsia="仿宋_GB2312" w:cs="宋体"/>
          <w:kern w:val="0"/>
          <w:sz w:val="32"/>
          <w:szCs w:val="32"/>
          <w:lang w:val="en-US" w:eastAsia="zh-CN" w:bidi="ar-SA"/>
        </w:rPr>
        <w:t>烟碱类杀虫剂，具有触杀、胃毒作用，具有根内吸活性和层间传导性。</w:t>
      </w:r>
      <w:r>
        <w:rPr>
          <w:rFonts w:hint="eastAsia" w:ascii="仿宋_GB2312" w:hAnsi="仿宋" w:eastAsia="仿宋_GB2312" w:cs="宋体"/>
          <w:kern w:val="0"/>
          <w:sz w:val="32"/>
          <w:szCs w:val="32"/>
          <w:lang w:val="zh-CN" w:eastAsia="zh-CN" w:bidi="ar-SA"/>
        </w:rPr>
        <w:t>《食品安全国家标准食品中农药最大残留限量》（GB</w:t>
      </w:r>
      <w:r>
        <w:rPr>
          <w:rFonts w:hint="eastAsia" w:ascii="仿宋_GB2312" w:hAnsi="仿宋" w:eastAsia="仿宋_GB2312" w:cs="宋体"/>
          <w:kern w:val="0"/>
          <w:sz w:val="32"/>
          <w:szCs w:val="32"/>
          <w:lang w:val="en-US" w:eastAsia="zh-CN" w:bidi="ar-SA"/>
        </w:rPr>
        <w:t xml:space="preserve"> </w:t>
      </w:r>
      <w:r>
        <w:rPr>
          <w:rFonts w:hint="eastAsia" w:ascii="仿宋_GB2312" w:hAnsi="仿宋" w:eastAsia="仿宋_GB2312" w:cs="宋体"/>
          <w:kern w:val="0"/>
          <w:sz w:val="32"/>
          <w:szCs w:val="32"/>
          <w:lang w:val="zh-CN" w:eastAsia="zh-CN" w:bidi="ar-SA"/>
        </w:rPr>
        <w:t>2763</w:t>
      </w:r>
      <w:r>
        <w:rPr>
          <w:rFonts w:hint="eastAsia" w:ascii="仿宋_GB2312" w:hAnsi="仿宋" w:eastAsia="仿宋_GB2312" w:cs="宋体"/>
          <w:kern w:val="0"/>
          <w:sz w:val="32"/>
          <w:szCs w:val="32"/>
          <w:lang w:val="en-US" w:eastAsia="zh-CN" w:bidi="ar-SA"/>
        </w:rPr>
        <w:t>-2021</w:t>
      </w:r>
      <w:r>
        <w:rPr>
          <w:rFonts w:hint="eastAsia" w:ascii="仿宋_GB2312" w:hAnsi="仿宋" w:eastAsia="仿宋_GB2312" w:cs="宋体"/>
          <w:kern w:val="0"/>
          <w:sz w:val="32"/>
          <w:szCs w:val="32"/>
          <w:lang w:val="zh-CN" w:eastAsia="zh-CN" w:bidi="ar-SA"/>
        </w:rPr>
        <w:t>）中规定，灭蝇胺在</w:t>
      </w:r>
      <w:r>
        <w:rPr>
          <w:rFonts w:hint="eastAsia" w:ascii="仿宋_GB2312" w:hAnsi="仿宋" w:cs="宋体"/>
          <w:kern w:val="0"/>
          <w:sz w:val="32"/>
          <w:szCs w:val="32"/>
          <w:lang w:val="en-US" w:eastAsia="zh-CN" w:bidi="ar-SA"/>
        </w:rPr>
        <w:t>芹菜</w:t>
      </w:r>
      <w:r>
        <w:rPr>
          <w:rFonts w:hint="eastAsia" w:ascii="仿宋_GB2312" w:hAnsi="仿宋" w:eastAsia="仿宋_GB2312" w:cs="宋体"/>
          <w:kern w:val="0"/>
          <w:sz w:val="32"/>
          <w:szCs w:val="32"/>
          <w:lang w:val="zh-CN" w:eastAsia="zh-CN" w:bidi="ar-SA"/>
        </w:rPr>
        <w:t>中的</w:t>
      </w:r>
      <w:r>
        <w:rPr>
          <w:rFonts w:hint="eastAsia" w:ascii="仿宋_GB2312" w:hAnsi="仿宋" w:eastAsia="仿宋_GB2312" w:cs="宋体"/>
          <w:kern w:val="0"/>
          <w:sz w:val="32"/>
          <w:szCs w:val="32"/>
          <w:lang w:val="zh-CN"/>
        </w:rPr>
        <w:t>残留限量值</w:t>
      </w:r>
      <w:r>
        <w:rPr>
          <w:rFonts w:hint="eastAsia" w:ascii="仿宋_GB2312" w:hAnsi="仿宋" w:eastAsia="仿宋_GB2312" w:cs="宋体"/>
          <w:kern w:val="0"/>
          <w:sz w:val="32"/>
          <w:szCs w:val="32"/>
          <w:lang w:val="zh-CN" w:eastAsia="zh-CN" w:bidi="ar-SA"/>
        </w:rPr>
        <w:t>应≤0.</w:t>
      </w:r>
      <w:r>
        <w:rPr>
          <w:rFonts w:hint="eastAsia" w:ascii="仿宋_GB2312" w:hAnsi="仿宋" w:cs="宋体"/>
          <w:kern w:val="0"/>
          <w:sz w:val="32"/>
          <w:szCs w:val="32"/>
          <w:lang w:val="en-US" w:eastAsia="zh-CN" w:bidi="ar-SA"/>
        </w:rPr>
        <w:t>04</w:t>
      </w:r>
      <w:r>
        <w:rPr>
          <w:rFonts w:hint="eastAsia" w:ascii="仿宋_GB2312" w:hAnsi="仿宋" w:eastAsia="仿宋_GB2312" w:cs="宋体"/>
          <w:kern w:val="0"/>
          <w:sz w:val="32"/>
          <w:szCs w:val="32"/>
          <w:lang w:val="zh-CN" w:eastAsia="zh-CN" w:bidi="ar-SA"/>
        </w:rPr>
        <w:t>mg/kg。长期食用</w:t>
      </w:r>
      <w:r>
        <w:rPr>
          <w:rFonts w:hint="eastAsia" w:ascii="仿宋_GB2312" w:hAnsi="仿宋" w:cs="宋体"/>
          <w:kern w:val="0"/>
          <w:sz w:val="32"/>
          <w:szCs w:val="32"/>
          <w:lang w:val="en-US" w:eastAsia="zh-CN" w:bidi="ar-SA"/>
        </w:rPr>
        <w:t>噻虫胺</w:t>
      </w:r>
      <w:r>
        <w:rPr>
          <w:rFonts w:hint="eastAsia" w:ascii="仿宋_GB2312" w:hAnsi="仿宋" w:eastAsia="仿宋_GB2312" w:cs="宋体"/>
          <w:kern w:val="0"/>
          <w:sz w:val="32"/>
          <w:szCs w:val="32"/>
          <w:lang w:val="zh-CN" w:eastAsia="zh-CN" w:bidi="ar-SA"/>
        </w:rPr>
        <w:t>超标的食品可能会引起</w:t>
      </w:r>
      <w:r>
        <w:rPr>
          <w:rFonts w:hint="eastAsia" w:ascii="仿宋_GB2312" w:hAnsi="仿宋" w:eastAsia="仿宋_GB2312" w:cs="宋体"/>
          <w:kern w:val="0"/>
          <w:sz w:val="32"/>
          <w:szCs w:val="32"/>
          <w:lang w:val="en-US" w:eastAsia="zh-CN" w:bidi="ar-SA"/>
        </w:rPr>
        <w:t>可出现恶心、呕吐、头痛、乏力、躁动、抽搐等。</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铅</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铅是一种能够在生物体内蓄积且排除缓慢的重金属污染物。《食品安全国家标准 食品中污染物限量》（GB 2762-2017）中规定，蔬菜制品中铅(以Pb计)应≤1.0mg/kg</w:t>
      </w:r>
      <w:r>
        <w:rPr>
          <w:rFonts w:hint="eastAsia" w:ascii="仿宋_GB2312" w:hAnsi="仿宋"/>
          <w:sz w:val="32"/>
          <w:szCs w:val="32"/>
          <w:lang w:eastAsia="zh-CN"/>
        </w:rPr>
        <w:t>。</w:t>
      </w:r>
      <w:r>
        <w:rPr>
          <w:rFonts w:hint="eastAsia" w:ascii="仿宋_GB2312" w:hAnsi="仿宋" w:eastAsia="仿宋_GB2312"/>
          <w:sz w:val="32"/>
          <w:szCs w:val="32"/>
        </w:rPr>
        <w:t>铅蓄积在体内可能会影响大脑和神经系统，尤其会对儿童造成智力发育障碍和表现行为异常。</w:t>
      </w:r>
    </w:p>
    <w:p>
      <w:pPr>
        <w:pStyle w:val="9"/>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3" w:leftChars="0" w:firstLine="643" w:firstLine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代森锌</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代森锌</w:t>
      </w:r>
      <w:r>
        <w:rPr>
          <w:rFonts w:hint="default" w:ascii="仿宋_GB2312" w:hAnsi="仿宋" w:eastAsia="仿宋_GB2312" w:cs="Times New Roman"/>
          <w:kern w:val="2"/>
          <w:sz w:val="32"/>
          <w:szCs w:val="32"/>
          <w:lang w:val="en-US" w:eastAsia="zh-CN" w:bidi="ar-SA"/>
        </w:rPr>
        <w:t>是一种广谱性、保护性杀菌剂，可用于防治水稻、麦类、蔬菜、葡萄、果树、烟草等作物的多种病害</w:t>
      </w:r>
      <w:r>
        <w:rPr>
          <w:rFonts w:hint="eastAsia" w:ascii="仿宋_GB2312" w:hAnsi="仿宋" w:eastAsia="仿宋_GB2312" w:cs="Times New Roman"/>
          <w:kern w:val="2"/>
          <w:sz w:val="32"/>
          <w:szCs w:val="32"/>
          <w:lang w:val="en-US" w:eastAsia="zh-CN" w:bidi="ar-SA"/>
        </w:rPr>
        <w:t>。</w:t>
      </w:r>
      <w:r>
        <w:rPr>
          <w:rFonts w:hint="eastAsia" w:ascii="仿宋_GB2312" w:hAnsi="仿宋" w:eastAsia="仿宋_GB2312" w:cs="宋体"/>
          <w:kern w:val="0"/>
          <w:sz w:val="32"/>
          <w:szCs w:val="32"/>
          <w:lang w:val="zh-CN" w:eastAsia="zh-CN" w:bidi="ar-SA"/>
        </w:rPr>
        <w:t>《食品安全国家标准食品中农药最大残留限量》（GB</w:t>
      </w:r>
      <w:r>
        <w:rPr>
          <w:rFonts w:hint="eastAsia" w:ascii="仿宋_GB2312" w:hAnsi="仿宋" w:eastAsia="仿宋_GB2312" w:cs="宋体"/>
          <w:kern w:val="0"/>
          <w:sz w:val="32"/>
          <w:szCs w:val="32"/>
          <w:lang w:val="en-US" w:eastAsia="zh-CN" w:bidi="ar-SA"/>
        </w:rPr>
        <w:t xml:space="preserve"> </w:t>
      </w:r>
      <w:r>
        <w:rPr>
          <w:rFonts w:hint="eastAsia" w:ascii="仿宋_GB2312" w:hAnsi="仿宋" w:eastAsia="仿宋_GB2312" w:cs="宋体"/>
          <w:kern w:val="0"/>
          <w:sz w:val="32"/>
          <w:szCs w:val="32"/>
          <w:lang w:val="zh-CN" w:eastAsia="zh-CN" w:bidi="ar-SA"/>
        </w:rPr>
        <w:t>2763</w:t>
      </w:r>
      <w:r>
        <w:rPr>
          <w:rFonts w:hint="eastAsia" w:ascii="仿宋_GB2312" w:hAnsi="仿宋" w:eastAsia="仿宋_GB2312" w:cs="宋体"/>
          <w:kern w:val="0"/>
          <w:sz w:val="32"/>
          <w:szCs w:val="32"/>
          <w:lang w:val="en-US" w:eastAsia="zh-CN" w:bidi="ar-SA"/>
        </w:rPr>
        <w:t>-2021</w:t>
      </w:r>
      <w:r>
        <w:rPr>
          <w:rFonts w:hint="eastAsia" w:ascii="仿宋_GB2312" w:hAnsi="仿宋" w:eastAsia="仿宋_GB2312" w:cs="宋体"/>
          <w:kern w:val="0"/>
          <w:sz w:val="32"/>
          <w:szCs w:val="32"/>
          <w:lang w:val="zh-CN" w:eastAsia="zh-CN" w:bidi="ar-SA"/>
        </w:rPr>
        <w:t>）中规定，</w:t>
      </w:r>
      <w:r>
        <w:rPr>
          <w:rFonts w:hint="eastAsia" w:ascii="仿宋_GB2312" w:hAnsi="仿宋" w:eastAsia="仿宋_GB2312" w:cs="宋体"/>
          <w:kern w:val="0"/>
          <w:sz w:val="32"/>
          <w:szCs w:val="32"/>
          <w:lang w:val="en-US" w:eastAsia="zh-CN" w:bidi="ar-SA"/>
        </w:rPr>
        <w:t>代森锌</w:t>
      </w:r>
      <w:r>
        <w:rPr>
          <w:rFonts w:hint="eastAsia" w:ascii="仿宋_GB2312" w:hAnsi="仿宋" w:eastAsia="仿宋_GB2312" w:cs="宋体"/>
          <w:kern w:val="0"/>
          <w:sz w:val="32"/>
          <w:szCs w:val="32"/>
          <w:lang w:val="zh-CN" w:eastAsia="zh-CN" w:bidi="ar-SA"/>
        </w:rPr>
        <w:t>在</w:t>
      </w:r>
      <w:r>
        <w:rPr>
          <w:rFonts w:hint="eastAsia" w:ascii="仿宋_GB2312" w:hAnsi="仿宋" w:cs="宋体"/>
          <w:kern w:val="0"/>
          <w:sz w:val="32"/>
          <w:szCs w:val="32"/>
          <w:lang w:val="en-US" w:eastAsia="zh-CN" w:bidi="ar-SA"/>
        </w:rPr>
        <w:t>葱</w:t>
      </w:r>
      <w:r>
        <w:rPr>
          <w:rFonts w:hint="eastAsia" w:ascii="仿宋_GB2312" w:hAnsi="仿宋" w:eastAsia="仿宋_GB2312" w:cs="宋体"/>
          <w:kern w:val="0"/>
          <w:sz w:val="32"/>
          <w:szCs w:val="32"/>
          <w:lang w:val="zh-CN" w:eastAsia="zh-CN" w:bidi="ar-SA"/>
        </w:rPr>
        <w:t>中的</w:t>
      </w:r>
      <w:r>
        <w:rPr>
          <w:rFonts w:hint="eastAsia" w:ascii="仿宋_GB2312" w:hAnsi="仿宋" w:eastAsia="仿宋_GB2312" w:cs="宋体"/>
          <w:kern w:val="0"/>
          <w:sz w:val="32"/>
          <w:szCs w:val="32"/>
          <w:lang w:val="zh-CN"/>
        </w:rPr>
        <w:t>残留限量值</w:t>
      </w:r>
      <w:r>
        <w:rPr>
          <w:rFonts w:hint="eastAsia" w:ascii="仿宋_GB2312" w:hAnsi="仿宋" w:eastAsia="仿宋_GB2312" w:cs="宋体"/>
          <w:kern w:val="0"/>
          <w:sz w:val="32"/>
          <w:szCs w:val="32"/>
          <w:lang w:val="zh-CN" w:eastAsia="zh-CN" w:bidi="ar-SA"/>
        </w:rPr>
        <w:t>应≤0.</w:t>
      </w:r>
      <w:r>
        <w:rPr>
          <w:rFonts w:hint="eastAsia" w:ascii="仿宋_GB2312" w:hAnsi="仿宋" w:cs="宋体"/>
          <w:kern w:val="0"/>
          <w:sz w:val="32"/>
          <w:szCs w:val="32"/>
          <w:lang w:val="en-US" w:eastAsia="zh-CN" w:bidi="ar-SA"/>
        </w:rPr>
        <w:t>5</w:t>
      </w:r>
      <w:r>
        <w:rPr>
          <w:rFonts w:hint="eastAsia" w:ascii="仿宋_GB2312" w:hAnsi="仿宋" w:eastAsia="仿宋_GB2312" w:cs="宋体"/>
          <w:kern w:val="0"/>
          <w:sz w:val="32"/>
          <w:szCs w:val="32"/>
          <w:lang w:val="zh-CN" w:eastAsia="zh-CN" w:bidi="ar-SA"/>
        </w:rPr>
        <w:t>mg/kg。少量的农药残留不会引起人体急性中毒，但长期食用农药残留超标的食品，对人体健康有一定影响。</w:t>
      </w:r>
    </w:p>
    <w:p>
      <w:pPr>
        <w:pStyle w:val="9"/>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spacing w:line="560" w:lineRule="exact"/>
        <w:ind w:firstLine="640" w:firstLineChars="200"/>
        <w:rPr>
          <w:rFonts w:hint="eastAsia" w:ascii="仿宋_GB2312" w:hAnsi="仿宋" w:eastAsia="仿宋_GB2312" w:cs="宋体"/>
          <w:color w:val="auto"/>
          <w:kern w:val="0"/>
          <w:sz w:val="32"/>
          <w:szCs w:val="32"/>
          <w:highlight w:val="none"/>
          <w:lang w:val="zh-CN" w:eastAsia="zh-CN" w:bidi="ar-SA"/>
        </w:rPr>
      </w:pPr>
      <w:r>
        <w:rPr>
          <w:rFonts w:hint="eastAsia" w:ascii="仿宋_GB2312" w:hAnsi="仿宋" w:eastAsia="仿宋_GB2312" w:cs="宋体"/>
          <w:color w:val="auto"/>
          <w:kern w:val="0"/>
          <w:sz w:val="32"/>
          <w:szCs w:val="32"/>
          <w:highlight w:val="none"/>
          <w:lang w:val="zh-CN" w:eastAsia="zh-CN" w:bidi="ar-SA"/>
        </w:rPr>
        <w:t>（五）规范食用农产品药物的使用</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color w:val="auto"/>
          <w:kern w:val="0"/>
          <w:sz w:val="32"/>
          <w:szCs w:val="32"/>
          <w:highlight w:val="none"/>
          <w:lang w:val="en-US" w:eastAsia="zh-CN" w:bidi="ar-SA"/>
        </w:rPr>
      </w:pPr>
      <w:r>
        <w:rPr>
          <w:rFonts w:hint="eastAsia" w:ascii="仿宋_GB2312" w:hAnsi="仿宋" w:eastAsia="仿宋_GB2312" w:cs="宋体"/>
          <w:color w:val="auto"/>
          <w:kern w:val="0"/>
          <w:sz w:val="32"/>
          <w:szCs w:val="32"/>
          <w:highlight w:val="none"/>
          <w:lang w:val="en-US" w:eastAsia="zh-CN" w:bidi="ar-SA"/>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EFD8C0"/>
    <w:multiLevelType w:val="singleLevel"/>
    <w:tmpl w:val="EEEFD8C0"/>
    <w:lvl w:ilvl="0" w:tentative="0">
      <w:start w:val="8"/>
      <w:numFmt w:val="chineseCounting"/>
      <w:suff w:val="nothing"/>
      <w:lvlText w:val="（%1）"/>
      <w:lvlJc w:val="left"/>
      <w:pPr>
        <w:ind w:left="-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0BF706B"/>
    <w:rsid w:val="00CD6745"/>
    <w:rsid w:val="010D4506"/>
    <w:rsid w:val="0114728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99F35F4"/>
    <w:rsid w:val="0A101FAB"/>
    <w:rsid w:val="0A416AB6"/>
    <w:rsid w:val="0A545255"/>
    <w:rsid w:val="0AEA5DCE"/>
    <w:rsid w:val="0B5F7337"/>
    <w:rsid w:val="0B66492E"/>
    <w:rsid w:val="0B6F4B3F"/>
    <w:rsid w:val="0B9C34ED"/>
    <w:rsid w:val="0C083FBC"/>
    <w:rsid w:val="0C0C4E1D"/>
    <w:rsid w:val="0C455D22"/>
    <w:rsid w:val="0C6F4539"/>
    <w:rsid w:val="0C760736"/>
    <w:rsid w:val="0CBF7726"/>
    <w:rsid w:val="0CD4225F"/>
    <w:rsid w:val="0D1C5633"/>
    <w:rsid w:val="0D6C4E32"/>
    <w:rsid w:val="0DF26CD2"/>
    <w:rsid w:val="0E431583"/>
    <w:rsid w:val="0EA926E5"/>
    <w:rsid w:val="0EA93008"/>
    <w:rsid w:val="0EC839C2"/>
    <w:rsid w:val="0F261454"/>
    <w:rsid w:val="0F567840"/>
    <w:rsid w:val="0FE51EE1"/>
    <w:rsid w:val="108B31AA"/>
    <w:rsid w:val="10AD16A7"/>
    <w:rsid w:val="10BA4D47"/>
    <w:rsid w:val="1162065F"/>
    <w:rsid w:val="118714DF"/>
    <w:rsid w:val="11B32DA0"/>
    <w:rsid w:val="11BA183E"/>
    <w:rsid w:val="11CE6913"/>
    <w:rsid w:val="11E172CB"/>
    <w:rsid w:val="11F21CEC"/>
    <w:rsid w:val="1210526E"/>
    <w:rsid w:val="12AF7645"/>
    <w:rsid w:val="12B51B83"/>
    <w:rsid w:val="12D976B3"/>
    <w:rsid w:val="137821D3"/>
    <w:rsid w:val="13803E88"/>
    <w:rsid w:val="139A1CB2"/>
    <w:rsid w:val="13E774D5"/>
    <w:rsid w:val="141B2394"/>
    <w:rsid w:val="14292A97"/>
    <w:rsid w:val="1499532A"/>
    <w:rsid w:val="1512088F"/>
    <w:rsid w:val="15170DCC"/>
    <w:rsid w:val="155219D3"/>
    <w:rsid w:val="15FE7C46"/>
    <w:rsid w:val="16396F4B"/>
    <w:rsid w:val="164E1FAB"/>
    <w:rsid w:val="165773C2"/>
    <w:rsid w:val="16A102CE"/>
    <w:rsid w:val="16A52765"/>
    <w:rsid w:val="176818BF"/>
    <w:rsid w:val="17AE2E53"/>
    <w:rsid w:val="17C62E78"/>
    <w:rsid w:val="17CA0823"/>
    <w:rsid w:val="17FA5E44"/>
    <w:rsid w:val="181E6360"/>
    <w:rsid w:val="182C56B9"/>
    <w:rsid w:val="18A6137C"/>
    <w:rsid w:val="18F91C2D"/>
    <w:rsid w:val="18FA3DC4"/>
    <w:rsid w:val="199008F8"/>
    <w:rsid w:val="19EB104A"/>
    <w:rsid w:val="1A19393D"/>
    <w:rsid w:val="1A2F146E"/>
    <w:rsid w:val="1A81096D"/>
    <w:rsid w:val="1A84029D"/>
    <w:rsid w:val="1AB574C5"/>
    <w:rsid w:val="1AC27A2C"/>
    <w:rsid w:val="1AC759AF"/>
    <w:rsid w:val="1AE32ACD"/>
    <w:rsid w:val="1B042E72"/>
    <w:rsid w:val="1B7E0D88"/>
    <w:rsid w:val="1BA56199"/>
    <w:rsid w:val="1C2B3ECE"/>
    <w:rsid w:val="1C354059"/>
    <w:rsid w:val="1D235A85"/>
    <w:rsid w:val="1D3D5D17"/>
    <w:rsid w:val="1DB57EDF"/>
    <w:rsid w:val="1E3C794C"/>
    <w:rsid w:val="1EFD4E3F"/>
    <w:rsid w:val="1F120F82"/>
    <w:rsid w:val="1F456A61"/>
    <w:rsid w:val="1FA37E2C"/>
    <w:rsid w:val="1FEA3D63"/>
    <w:rsid w:val="200B2815"/>
    <w:rsid w:val="20303594"/>
    <w:rsid w:val="208760C8"/>
    <w:rsid w:val="208E2538"/>
    <w:rsid w:val="2103478D"/>
    <w:rsid w:val="21415B46"/>
    <w:rsid w:val="21912FA1"/>
    <w:rsid w:val="219C06C7"/>
    <w:rsid w:val="22F15479"/>
    <w:rsid w:val="231A399D"/>
    <w:rsid w:val="24415E66"/>
    <w:rsid w:val="247E06E4"/>
    <w:rsid w:val="248553AF"/>
    <w:rsid w:val="249A66FD"/>
    <w:rsid w:val="24F01236"/>
    <w:rsid w:val="25131149"/>
    <w:rsid w:val="255973C6"/>
    <w:rsid w:val="255D305C"/>
    <w:rsid w:val="257D0D7B"/>
    <w:rsid w:val="259D0E7A"/>
    <w:rsid w:val="25D84592"/>
    <w:rsid w:val="262E6380"/>
    <w:rsid w:val="26635934"/>
    <w:rsid w:val="26D25598"/>
    <w:rsid w:val="27084E46"/>
    <w:rsid w:val="270C1F17"/>
    <w:rsid w:val="274815F0"/>
    <w:rsid w:val="27537B32"/>
    <w:rsid w:val="27786C5E"/>
    <w:rsid w:val="27D171E0"/>
    <w:rsid w:val="282A264F"/>
    <w:rsid w:val="28664823"/>
    <w:rsid w:val="28EE2E75"/>
    <w:rsid w:val="2911326E"/>
    <w:rsid w:val="2928376B"/>
    <w:rsid w:val="29292876"/>
    <w:rsid w:val="295771E6"/>
    <w:rsid w:val="29DF09A6"/>
    <w:rsid w:val="2A012B32"/>
    <w:rsid w:val="2A2E5413"/>
    <w:rsid w:val="2A706ED1"/>
    <w:rsid w:val="2A95365C"/>
    <w:rsid w:val="2ACC6C6B"/>
    <w:rsid w:val="2B0D6532"/>
    <w:rsid w:val="2B8F5708"/>
    <w:rsid w:val="2BA5399C"/>
    <w:rsid w:val="2C6F3579"/>
    <w:rsid w:val="2C784420"/>
    <w:rsid w:val="2D145EC5"/>
    <w:rsid w:val="2D2D024C"/>
    <w:rsid w:val="2DA27B95"/>
    <w:rsid w:val="2DCA4231"/>
    <w:rsid w:val="2E172668"/>
    <w:rsid w:val="2E6B3A9D"/>
    <w:rsid w:val="2E871900"/>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6A3327"/>
    <w:rsid w:val="33713745"/>
    <w:rsid w:val="34264611"/>
    <w:rsid w:val="343E30F0"/>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8E250CA"/>
    <w:rsid w:val="391B060E"/>
    <w:rsid w:val="39264334"/>
    <w:rsid w:val="39275408"/>
    <w:rsid w:val="3949339B"/>
    <w:rsid w:val="39824C43"/>
    <w:rsid w:val="398B0B0F"/>
    <w:rsid w:val="39C64A66"/>
    <w:rsid w:val="3A193765"/>
    <w:rsid w:val="3AB301FA"/>
    <w:rsid w:val="3B1904CB"/>
    <w:rsid w:val="3B2518DE"/>
    <w:rsid w:val="3B504FA6"/>
    <w:rsid w:val="3BAB1A67"/>
    <w:rsid w:val="3BFE4DC9"/>
    <w:rsid w:val="3C064771"/>
    <w:rsid w:val="3C8F2962"/>
    <w:rsid w:val="3CA67A9F"/>
    <w:rsid w:val="3CDD7A17"/>
    <w:rsid w:val="3D1B4620"/>
    <w:rsid w:val="3D7309E6"/>
    <w:rsid w:val="3DBC0B10"/>
    <w:rsid w:val="3DF44DD4"/>
    <w:rsid w:val="3E051E67"/>
    <w:rsid w:val="3E1079E4"/>
    <w:rsid w:val="3E182457"/>
    <w:rsid w:val="3E88008E"/>
    <w:rsid w:val="3E984FE9"/>
    <w:rsid w:val="3EC80CDE"/>
    <w:rsid w:val="3F033412"/>
    <w:rsid w:val="3F0B45B6"/>
    <w:rsid w:val="3F685D87"/>
    <w:rsid w:val="3F7A3AC2"/>
    <w:rsid w:val="40191044"/>
    <w:rsid w:val="411C1395"/>
    <w:rsid w:val="41752CDE"/>
    <w:rsid w:val="41CA2B9F"/>
    <w:rsid w:val="42016010"/>
    <w:rsid w:val="428251DB"/>
    <w:rsid w:val="42C23130"/>
    <w:rsid w:val="42D71D53"/>
    <w:rsid w:val="43974288"/>
    <w:rsid w:val="439F5506"/>
    <w:rsid w:val="440F147B"/>
    <w:rsid w:val="44141429"/>
    <w:rsid w:val="44896D41"/>
    <w:rsid w:val="44D452BA"/>
    <w:rsid w:val="45104BE6"/>
    <w:rsid w:val="460F4F06"/>
    <w:rsid w:val="464A4562"/>
    <w:rsid w:val="46A3209A"/>
    <w:rsid w:val="46CC6013"/>
    <w:rsid w:val="482B56E1"/>
    <w:rsid w:val="4848609B"/>
    <w:rsid w:val="4852746A"/>
    <w:rsid w:val="4864409A"/>
    <w:rsid w:val="48961A2D"/>
    <w:rsid w:val="48C53F99"/>
    <w:rsid w:val="48C74CD3"/>
    <w:rsid w:val="48E60C18"/>
    <w:rsid w:val="49346CC6"/>
    <w:rsid w:val="49664C37"/>
    <w:rsid w:val="499A7ACA"/>
    <w:rsid w:val="4AF350DE"/>
    <w:rsid w:val="4B223C16"/>
    <w:rsid w:val="4B37566A"/>
    <w:rsid w:val="4B3F5F2B"/>
    <w:rsid w:val="4BCB614C"/>
    <w:rsid w:val="4BDC5663"/>
    <w:rsid w:val="4C7A639D"/>
    <w:rsid w:val="4CE91A69"/>
    <w:rsid w:val="4CF5205D"/>
    <w:rsid w:val="4DAC348D"/>
    <w:rsid w:val="4E0D626A"/>
    <w:rsid w:val="4E183BFE"/>
    <w:rsid w:val="4E403AAD"/>
    <w:rsid w:val="4EAD6BF5"/>
    <w:rsid w:val="4EBC0748"/>
    <w:rsid w:val="4ECB0493"/>
    <w:rsid w:val="4ECC3762"/>
    <w:rsid w:val="4EFB7EB8"/>
    <w:rsid w:val="4F2F4720"/>
    <w:rsid w:val="4F4940D8"/>
    <w:rsid w:val="4FE23640"/>
    <w:rsid w:val="4FED4605"/>
    <w:rsid w:val="50023AE7"/>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4AF0073"/>
    <w:rsid w:val="550906E8"/>
    <w:rsid w:val="551B6EF1"/>
    <w:rsid w:val="552160C4"/>
    <w:rsid w:val="557E5EAF"/>
    <w:rsid w:val="55961D9B"/>
    <w:rsid w:val="55F22D46"/>
    <w:rsid w:val="56A81B8F"/>
    <w:rsid w:val="56D02FB6"/>
    <w:rsid w:val="56FE090D"/>
    <w:rsid w:val="5737759B"/>
    <w:rsid w:val="577D74E9"/>
    <w:rsid w:val="57FE2087"/>
    <w:rsid w:val="586B71C9"/>
    <w:rsid w:val="590154BD"/>
    <w:rsid w:val="59527B6B"/>
    <w:rsid w:val="59956CCF"/>
    <w:rsid w:val="59AF7439"/>
    <w:rsid w:val="59CC251A"/>
    <w:rsid w:val="59E33FF0"/>
    <w:rsid w:val="59EA54F5"/>
    <w:rsid w:val="5A5B4E1E"/>
    <w:rsid w:val="5A607799"/>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B95F86"/>
    <w:rsid w:val="5FE1582B"/>
    <w:rsid w:val="5FF70784"/>
    <w:rsid w:val="5FF94275"/>
    <w:rsid w:val="601163AE"/>
    <w:rsid w:val="6022782B"/>
    <w:rsid w:val="6048573D"/>
    <w:rsid w:val="60FF5FDD"/>
    <w:rsid w:val="610D232E"/>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9D6627D"/>
    <w:rsid w:val="6A323B2C"/>
    <w:rsid w:val="6A524C0E"/>
    <w:rsid w:val="6AC33480"/>
    <w:rsid w:val="6AC56475"/>
    <w:rsid w:val="6B1806CB"/>
    <w:rsid w:val="6B90226A"/>
    <w:rsid w:val="6C2646D1"/>
    <w:rsid w:val="6C5A3FCD"/>
    <w:rsid w:val="6C721C9A"/>
    <w:rsid w:val="6C942E03"/>
    <w:rsid w:val="6CB62996"/>
    <w:rsid w:val="6D731B27"/>
    <w:rsid w:val="6D76258B"/>
    <w:rsid w:val="6DF27E1D"/>
    <w:rsid w:val="6E7050A9"/>
    <w:rsid w:val="6E7A59CD"/>
    <w:rsid w:val="6E9610D2"/>
    <w:rsid w:val="6E9C25A7"/>
    <w:rsid w:val="6ECD36FF"/>
    <w:rsid w:val="6F1957D5"/>
    <w:rsid w:val="6F535FB4"/>
    <w:rsid w:val="70254438"/>
    <w:rsid w:val="70810F1E"/>
    <w:rsid w:val="71754C6E"/>
    <w:rsid w:val="71DB6825"/>
    <w:rsid w:val="72014BAF"/>
    <w:rsid w:val="7275613E"/>
    <w:rsid w:val="72A04A1F"/>
    <w:rsid w:val="72F24D9D"/>
    <w:rsid w:val="733275F5"/>
    <w:rsid w:val="738026E3"/>
    <w:rsid w:val="738B62B3"/>
    <w:rsid w:val="73A979E7"/>
    <w:rsid w:val="73F31987"/>
    <w:rsid w:val="74104D2B"/>
    <w:rsid w:val="7432739D"/>
    <w:rsid w:val="744F4674"/>
    <w:rsid w:val="747927C4"/>
    <w:rsid w:val="74F11C15"/>
    <w:rsid w:val="754B170B"/>
    <w:rsid w:val="755146AE"/>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F0912"/>
    <w:rsid w:val="7A383D5A"/>
    <w:rsid w:val="7A7C11A9"/>
    <w:rsid w:val="7A895DC7"/>
    <w:rsid w:val="7AC47EB7"/>
    <w:rsid w:val="7AC64F5C"/>
    <w:rsid w:val="7B0E3F66"/>
    <w:rsid w:val="7B4B68E6"/>
    <w:rsid w:val="7B5E04A9"/>
    <w:rsid w:val="7BE41421"/>
    <w:rsid w:val="7C073518"/>
    <w:rsid w:val="7C4079FA"/>
    <w:rsid w:val="7C8F2CF0"/>
    <w:rsid w:val="7CBF0CF5"/>
    <w:rsid w:val="7DDC570E"/>
    <w:rsid w:val="7E494870"/>
    <w:rsid w:val="7F270D2A"/>
    <w:rsid w:val="7FD46120"/>
    <w:rsid w:val="FB7DF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9</Pages>
  <Words>3995</Words>
  <Characters>4395</Characters>
  <Lines>28</Lines>
  <Paragraphs>8</Paragraphs>
  <TotalTime>0</TotalTime>
  <ScaleCrop>false</ScaleCrop>
  <LinksUpToDate>false</LinksUpToDate>
  <CharactersWithSpaces>4434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2023-02-24T11:56:51Z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