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光简小标宋" w:eastAsia="华光简小标宋"/>
          <w:sz w:val="44"/>
          <w:szCs w:val="44"/>
        </w:rPr>
      </w:pPr>
      <w:r>
        <w:rPr>
          <w:rFonts w:hint="eastAsia" w:ascii="华光简小标宋" w:eastAsia="华光简小标宋"/>
          <w:sz w:val="44"/>
          <w:szCs w:val="44"/>
        </w:rPr>
        <w:t>深圳市龙华区司法局2018年度第二次“双随机</w:t>
      </w:r>
      <w:r>
        <w:rPr>
          <w:rFonts w:hint="eastAsia" w:ascii="华光简小标宋" w:eastAsia="华光简小标宋"/>
          <w:sz w:val="44"/>
          <w:szCs w:val="44"/>
          <w:lang w:eastAsia="zh-CN"/>
        </w:rPr>
        <w:t>、</w:t>
      </w:r>
      <w:r>
        <w:rPr>
          <w:rFonts w:hint="eastAsia" w:ascii="华光简小标宋" w:eastAsia="华光简小标宋"/>
          <w:sz w:val="44"/>
          <w:szCs w:val="44"/>
        </w:rPr>
        <w:t>一公开”检查结果公示</w:t>
      </w:r>
    </w:p>
    <w:p>
      <w:pPr>
        <w:spacing w:line="560" w:lineRule="exact"/>
      </w:pPr>
    </w:p>
    <w:p>
      <w:pPr>
        <w:spacing w:line="560" w:lineRule="exact"/>
        <w:sectPr>
          <w:pgSz w:w="11906" w:h="16838"/>
          <w:pgMar w:top="2098" w:right="1474" w:bottom="1985" w:left="1588" w:header="851" w:footer="992" w:gutter="0"/>
          <w:cols w:space="425" w:num="1"/>
          <w:docGrid w:type="lines" w:linePitch="312" w:charSpace="0"/>
        </w:sectPr>
      </w:pPr>
      <w:r>
        <w:rPr>
          <w:rFonts w:hint="eastAsia" w:ascii="仿宋_GB2312" w:eastAsia="仿宋_GB2312"/>
          <w:sz w:val="32"/>
          <w:szCs w:val="32"/>
        </w:rPr>
        <w:t xml:space="preserve">    为贯彻落实《广东省司法厅关于推行“双随机</w:t>
      </w:r>
      <w:r>
        <w:rPr>
          <w:rFonts w:hint="eastAsia" w:ascii="仿宋_GB2312" w:eastAsia="仿宋_GB2312"/>
          <w:sz w:val="32"/>
          <w:szCs w:val="32"/>
          <w:lang w:eastAsia="zh-CN"/>
        </w:rPr>
        <w:t>、</w:t>
      </w:r>
      <w:r>
        <w:rPr>
          <w:rFonts w:hint="eastAsia" w:ascii="仿宋_GB2312" w:eastAsia="仿宋_GB2312"/>
          <w:sz w:val="32"/>
          <w:szCs w:val="32"/>
        </w:rPr>
        <w:t>一公开”规范事中事后监管的实施方案》（粤司办〔2016〕608号）、《深圳市人民政府办公厅关于全面推行“双随机</w:t>
      </w:r>
      <w:r>
        <w:rPr>
          <w:rFonts w:hint="eastAsia" w:ascii="仿宋_GB2312" w:eastAsia="仿宋_GB2312"/>
          <w:sz w:val="32"/>
          <w:szCs w:val="32"/>
          <w:lang w:eastAsia="zh-CN"/>
        </w:rPr>
        <w:t>、</w:t>
      </w:r>
      <w:r>
        <w:rPr>
          <w:rFonts w:hint="eastAsia" w:ascii="仿宋_GB2312" w:eastAsia="仿宋_GB2312"/>
          <w:sz w:val="32"/>
          <w:szCs w:val="32"/>
        </w:rPr>
        <w:t>一公开”监管工作的通知》（深府办〔2016〕220号）和《深圳市司法局关于印发大力推广随机抽查规范事中事后监管工作实施方案（修订）的通知》（深司〔2017〕123号）文件要求，做好我局2018年度“双随机</w:t>
      </w:r>
      <w:r>
        <w:rPr>
          <w:rFonts w:hint="eastAsia" w:ascii="仿宋_GB2312" w:eastAsia="仿宋_GB2312"/>
          <w:sz w:val="32"/>
          <w:szCs w:val="32"/>
          <w:lang w:eastAsia="zh-CN"/>
        </w:rPr>
        <w:t>、</w:t>
      </w:r>
      <w:r>
        <w:rPr>
          <w:rFonts w:hint="eastAsia" w:ascii="仿宋_GB2312" w:eastAsia="仿宋_GB2312"/>
          <w:sz w:val="32"/>
          <w:szCs w:val="32"/>
        </w:rPr>
        <w:t>一公开”工作，我局于2018年11月5日至9日联合龙华区安全生产监督管理局执法人员对本次抽签选定的6家律师事务所进行了检查，现将检查结果</w:t>
      </w:r>
      <w:r>
        <w:rPr>
          <w:rFonts w:ascii="仿宋_GB2312" w:eastAsia="仿宋_GB2312"/>
          <w:sz w:val="32"/>
          <w:szCs w:val="32"/>
        </w:rPr>
        <w:t>予以公布</w:t>
      </w:r>
      <w:r>
        <w:rPr>
          <w:rFonts w:hint="eastAsia" w:ascii="仿宋_GB2312" w:eastAsia="仿宋_GB2312"/>
          <w:sz w:val="32"/>
          <w:szCs w:val="32"/>
          <w:lang w:eastAsia="zh-CN"/>
        </w:rPr>
        <w:t>。</w:t>
      </w:r>
      <w:r>
        <w:br w:type="page"/>
      </w:r>
    </w:p>
    <w:p>
      <w:pPr>
        <w:ind w:firstLine="1260" w:firstLineChars="350"/>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龙华区2018年第二次“</w:t>
      </w:r>
      <w:bookmarkStart w:id="0" w:name="_GoBack"/>
      <w:bookmarkEnd w:id="0"/>
      <w:r>
        <w:rPr>
          <w:rFonts w:hint="eastAsia" w:ascii="华文中宋" w:hAnsi="华文中宋" w:eastAsia="华文中宋" w:cs="宋体"/>
          <w:b/>
          <w:bCs/>
          <w:kern w:val="0"/>
          <w:sz w:val="36"/>
          <w:szCs w:val="36"/>
        </w:rPr>
        <w:t>双随机”检查结果公示表</w:t>
      </w:r>
    </w:p>
    <w:tbl>
      <w:tblPr>
        <w:tblStyle w:val="4"/>
        <w:tblW w:w="16160"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85"/>
        <w:gridCol w:w="3119"/>
        <w:gridCol w:w="1276"/>
        <w:gridCol w:w="1276"/>
        <w:gridCol w:w="708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9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序号</w:t>
            </w:r>
          </w:p>
        </w:tc>
        <w:tc>
          <w:tcPr>
            <w:tcW w:w="1285"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抽查对象</w:t>
            </w:r>
          </w:p>
        </w:tc>
        <w:tc>
          <w:tcPr>
            <w:tcW w:w="311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抽查事项</w:t>
            </w:r>
          </w:p>
        </w:tc>
        <w:tc>
          <w:tcPr>
            <w:tcW w:w="1276"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抽查部门</w:t>
            </w:r>
          </w:p>
        </w:tc>
        <w:tc>
          <w:tcPr>
            <w:tcW w:w="1276"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抽查人员</w:t>
            </w:r>
          </w:p>
        </w:tc>
        <w:tc>
          <w:tcPr>
            <w:tcW w:w="7087"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抽查结果</w:t>
            </w:r>
          </w:p>
        </w:tc>
        <w:tc>
          <w:tcPr>
            <w:tcW w:w="1418" w:type="dxa"/>
            <w:vAlign w:val="center"/>
          </w:tcPr>
          <w:p>
            <w:pPr>
              <w:spacing w:line="400" w:lineRule="exact"/>
              <w:ind w:firstLine="120" w:firstLineChars="50"/>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后续处理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7" w:hRule="exact"/>
        </w:trPr>
        <w:tc>
          <w:tcPr>
            <w:tcW w:w="699" w:type="dxa"/>
            <w:vAlign w:val="center"/>
          </w:tcPr>
          <w:p>
            <w:pPr>
              <w:spacing w:line="400" w:lineRule="exact"/>
              <w:jc w:val="center"/>
              <w:rPr>
                <w:rFonts w:ascii="仿宋_GB2312" w:hAnsi="宋体" w:eastAsia="仿宋_GB2312" w:cs="宋体"/>
                <w:color w:val="000000"/>
                <w:szCs w:val="21"/>
              </w:rPr>
            </w:pP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1</w:t>
            </w:r>
          </w:p>
        </w:tc>
        <w:tc>
          <w:tcPr>
            <w:tcW w:w="1285"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广东商达</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119" w:type="dxa"/>
            <w:vMerge w:val="restart"/>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1.律师事务所业务情况；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2.律师事务所内部管理制度的建立和实施情况；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3.律师事务所、律师受行政奖惩、行业奖惩的情况；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 律师事务所开展律师执业年度考核和上报年度执业总结的情况；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 律师事务所、律师履行行政处罚和实行整改的情况；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6.律师事务所的党建工作情况。</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1.律师事务所天花板、隔断是否存在破损掉灰等情况。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2.灭火器配置情况。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3.检查登记台账情况。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4.电器、电路使用情况。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5.安全出口情况。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6.应急指示灯配备情况。</w:t>
            </w:r>
          </w:p>
        </w:tc>
        <w:tc>
          <w:tcPr>
            <w:tcW w:w="1276" w:type="dxa"/>
            <w:vMerge w:val="restart"/>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深圳市龙华区司法局、</w:t>
            </w:r>
          </w:p>
          <w:p>
            <w:pPr>
              <w:spacing w:line="360" w:lineRule="exact"/>
              <w:jc w:val="center"/>
              <w:rPr>
                <w:rFonts w:ascii="仿宋_GB2312" w:hAnsi="宋体" w:eastAsia="仿宋_GB2312" w:cs="宋体"/>
                <w:color w:val="000000"/>
                <w:szCs w:val="21"/>
              </w:rPr>
            </w:pPr>
            <w:r>
              <w:rPr>
                <w:rFonts w:hint="eastAsia" w:ascii="仿宋_GB2312" w:hAnsi="仿宋_GB2312" w:eastAsia="仿宋_GB2312" w:cs="仿宋_GB2312"/>
                <w:color w:val="000000"/>
                <w:szCs w:val="21"/>
              </w:rPr>
              <w:t>深圳市龙华区安全生产监督管理局</w:t>
            </w:r>
          </w:p>
          <w:p>
            <w:pPr>
              <w:spacing w:line="360" w:lineRule="exact"/>
              <w:jc w:val="center"/>
              <w:rPr>
                <w:rFonts w:ascii="仿宋_GB2312" w:hAnsi="宋体" w:eastAsia="仿宋_GB2312" w:cs="宋体"/>
                <w:color w:val="000000"/>
                <w:szCs w:val="21"/>
              </w:rPr>
            </w:pPr>
          </w:p>
        </w:tc>
        <w:tc>
          <w:tcPr>
            <w:tcW w:w="1276" w:type="dxa"/>
            <w:vAlign w:val="center"/>
          </w:tcPr>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高扬凯</w:t>
            </w: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李强</w:t>
            </w: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ind w:firstLine="105" w:firstLineChars="50"/>
              <w:jc w:val="center"/>
              <w:rPr>
                <w:rFonts w:ascii="仿宋_GB2312" w:hAnsi="宋体" w:eastAsia="仿宋_GB2312" w:cs="宋体"/>
                <w:color w:val="000000"/>
                <w:szCs w:val="21"/>
              </w:rPr>
            </w:pPr>
          </w:p>
        </w:tc>
        <w:tc>
          <w:tcPr>
            <w:tcW w:w="7087"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1.律所共有87名律师，今年以来共受理了336宗案件；</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2.律所制定《律师事务所管理细则》、《律所章程》，但在实际工作中未按细则规定实施；</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3.2017年多名律师获得“龙华区优秀律师”（龙华律工委颁发）；</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4.无被行政处罚和行业惩戒的情况；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5.87名律师均已通过17年度执业考核，并已于年度考核期间提交执业总结；</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6.律所目前共有37名党员，并已建立党支部；律所主任被评为“龙华区优秀党务工作者”；律所缺少党务活动台账</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1.检查登记台账不够完善、无检查记录登记本；2. 饮水机电插座缺地线；3.通道未安装（带电）安全出口指示标识；4. 通道未安装应急照明灯。</w:t>
            </w:r>
          </w:p>
        </w:tc>
        <w:tc>
          <w:tcPr>
            <w:tcW w:w="1418" w:type="dxa"/>
            <w:vAlign w:val="center"/>
          </w:tcPr>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1.要求制定一套完整的内部管理规定，并按规定实施。</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2.发放《安全生产行政执法文书》，责令限期整改安全生产隐患问题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exact"/>
        </w:trPr>
        <w:tc>
          <w:tcPr>
            <w:tcW w:w="699"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2</w:t>
            </w:r>
          </w:p>
        </w:tc>
        <w:tc>
          <w:tcPr>
            <w:tcW w:w="1285"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广东贤方</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119" w:type="dxa"/>
            <w:vMerge w:val="continue"/>
            <w:vAlign w:val="center"/>
          </w:tcPr>
          <w:p>
            <w:pPr>
              <w:spacing w:line="360" w:lineRule="exact"/>
              <w:jc w:val="center"/>
              <w:rPr>
                <w:rFonts w:ascii="仿宋_GB2312" w:hAnsi="宋体" w:eastAsia="仿宋_GB2312" w:cs="宋体"/>
                <w:color w:val="000000"/>
                <w:szCs w:val="21"/>
              </w:rPr>
            </w:pPr>
          </w:p>
        </w:tc>
        <w:tc>
          <w:tcPr>
            <w:tcW w:w="1276" w:type="dxa"/>
            <w:vMerge w:val="continue"/>
            <w:vAlign w:val="center"/>
          </w:tcPr>
          <w:p>
            <w:pPr>
              <w:spacing w:line="360" w:lineRule="exact"/>
              <w:jc w:val="center"/>
              <w:rPr>
                <w:rFonts w:ascii="仿宋_GB2312" w:hAnsi="宋体" w:eastAsia="仿宋_GB2312" w:cs="宋体"/>
                <w:color w:val="000000"/>
                <w:szCs w:val="21"/>
              </w:rPr>
            </w:pPr>
          </w:p>
        </w:tc>
        <w:tc>
          <w:tcPr>
            <w:tcW w:w="1276"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高扬凯</w:t>
            </w: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李强</w:t>
            </w: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p>
        </w:tc>
        <w:tc>
          <w:tcPr>
            <w:tcW w:w="7087"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1.律所为富士康集团等30余家企业提供法律服务，担任企业法律顾问；</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2.有一套完备的《规章制度》（包含财务管理制度、律师服务收费制度和收费标准、员工守则、人事管理制度），并能按制度开展工作；《安全生产主体责任书》上墙公示；</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3.17年律所主任获得“龙华区优秀律师”（龙华律工委颁发）；无行政处罚和行业惩戒的情况；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4律所7个律师均已通过17年度考核，并已于年度考核期间提交执业总结</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5.律所共有10名党员，并于2018年11月2日成立党支部；</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1.灭火器放置在地上，未定期检查，未按规范配置；2.</w:t>
            </w:r>
            <w:r>
              <w:rPr>
                <w:rFonts w:hint="eastAsia" w:ascii="宋体" w:hAnsi="宋体"/>
                <w:sz w:val="30"/>
                <w:szCs w:val="30"/>
              </w:rPr>
              <w:t xml:space="preserve"> </w:t>
            </w:r>
            <w:r>
              <w:rPr>
                <w:rFonts w:hint="eastAsia" w:ascii="仿宋_GB2312" w:hAnsi="宋体" w:eastAsia="仿宋_GB2312" w:cs="宋体"/>
                <w:color w:val="000000"/>
                <w:szCs w:val="21"/>
              </w:rPr>
              <w:t>办公室电控开关箱未张贴警示标识，箱内放置杂物；3.</w:t>
            </w:r>
            <w:r>
              <w:rPr>
                <w:rFonts w:hint="eastAsia" w:ascii="宋体" w:hAnsi="宋体"/>
                <w:sz w:val="30"/>
                <w:szCs w:val="30"/>
              </w:rPr>
              <w:t xml:space="preserve"> </w:t>
            </w:r>
            <w:r>
              <w:rPr>
                <w:rFonts w:hint="eastAsia" w:ascii="仿宋_GB2312" w:hAnsi="宋体" w:eastAsia="仿宋_GB2312" w:cs="宋体"/>
                <w:color w:val="000000"/>
                <w:szCs w:val="21"/>
              </w:rPr>
              <w:t>办公室未安装安全出口指示标识。</w:t>
            </w:r>
          </w:p>
        </w:tc>
        <w:tc>
          <w:tcPr>
            <w:tcW w:w="1418" w:type="dxa"/>
            <w:vAlign w:val="center"/>
          </w:tcPr>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发放《安全生产行政执法文书》，责令限期整改安全生产隐患问题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exact"/>
        </w:trPr>
        <w:tc>
          <w:tcPr>
            <w:tcW w:w="699"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3</w:t>
            </w:r>
          </w:p>
        </w:tc>
        <w:tc>
          <w:tcPr>
            <w:tcW w:w="1285"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广东龙观</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119" w:type="dxa"/>
            <w:vMerge w:val="restart"/>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1.律师事务所业务情况；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2.律师事务所内部管理制度的建立和实施情况；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3.律师事务所、律师受行政奖惩、行业奖惩的情况；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 律师事务所开展律师执业年度考核和上报年度执业总结的情况；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 律师事务所、律师履行行政处罚和实行整改的情况；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6.律师事务所的党建工作情况。</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1.律师事务所天花板、隔断是否存在破损掉灰等情况。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2.灭火器配置情况。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3.检查登记台账情况。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4.电器、电路使用情况。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5.安全出口情况。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6.应急指示灯配备情况。</w:t>
            </w:r>
          </w:p>
        </w:tc>
        <w:tc>
          <w:tcPr>
            <w:tcW w:w="1276" w:type="dxa"/>
            <w:vMerge w:val="restart"/>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深圳市龙华区司法局、</w:t>
            </w:r>
          </w:p>
          <w:p>
            <w:pPr>
              <w:spacing w:line="360" w:lineRule="exact"/>
              <w:jc w:val="center"/>
              <w:rPr>
                <w:rFonts w:ascii="仿宋_GB2312" w:hAnsi="宋体" w:eastAsia="仿宋_GB2312" w:cs="宋体"/>
                <w:color w:val="000000"/>
                <w:szCs w:val="21"/>
              </w:rPr>
            </w:pPr>
            <w:r>
              <w:rPr>
                <w:rFonts w:hint="eastAsia" w:ascii="仿宋_GB2312" w:hAnsi="仿宋_GB2312" w:eastAsia="仿宋_GB2312" w:cs="仿宋_GB2312"/>
                <w:color w:val="000000"/>
                <w:szCs w:val="21"/>
              </w:rPr>
              <w:t>深圳市龙华区安全生产监督管理局</w:t>
            </w:r>
          </w:p>
          <w:p>
            <w:pPr>
              <w:spacing w:line="360" w:lineRule="exact"/>
              <w:jc w:val="left"/>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tc>
        <w:tc>
          <w:tcPr>
            <w:tcW w:w="1276"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p>
        </w:tc>
        <w:tc>
          <w:tcPr>
            <w:tcW w:w="7087"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1.2018年以来共受理民事案件9宗，刑事案件3宗；</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2.有一套较为完善内部管理制度：《公函、印章管理办法》《行政工作岗位职责》《律所章程》《内务管理制度》；</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3.被区律工委评为17年度“公益先进单位”称号、优秀律师2名、“先进个人”无行政处罚和行业惩戒的情况；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4.律所律师已通过2017年度考核并已于年度考核期间提交总结报告；</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5.律所目前只有1名律师，且为民革党成员。</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灭火器配备不足，放置不够合理。</w:t>
            </w:r>
          </w:p>
        </w:tc>
        <w:tc>
          <w:tcPr>
            <w:tcW w:w="1418"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现场要求整改，要求按规定配备灭火器并于本月16日前将整改后的照片发送区司法局备案。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exact"/>
        </w:trPr>
        <w:tc>
          <w:tcPr>
            <w:tcW w:w="699"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4</w:t>
            </w:r>
          </w:p>
        </w:tc>
        <w:tc>
          <w:tcPr>
            <w:tcW w:w="1285" w:type="dxa"/>
            <w:vAlign w:val="center"/>
          </w:tcPr>
          <w:p>
            <w:pPr>
              <w:spacing w:line="400" w:lineRule="exact"/>
              <w:jc w:val="center"/>
              <w:rPr>
                <w:rFonts w:ascii="仿宋_GB2312" w:hAnsi="宋体" w:eastAsia="仿宋_GB2312" w:cs="宋体"/>
                <w:color w:val="000000"/>
                <w:szCs w:val="21"/>
              </w:rPr>
            </w:pP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广东国晖</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（龙华）</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p>
            <w:pPr>
              <w:spacing w:line="400" w:lineRule="exact"/>
              <w:jc w:val="center"/>
              <w:rPr>
                <w:rFonts w:ascii="仿宋_GB2312" w:hAnsi="宋体" w:eastAsia="仿宋_GB2312" w:cs="宋体"/>
                <w:color w:val="000000"/>
                <w:szCs w:val="21"/>
              </w:rPr>
            </w:pPr>
          </w:p>
        </w:tc>
        <w:tc>
          <w:tcPr>
            <w:tcW w:w="3119" w:type="dxa"/>
            <w:vMerge w:val="continue"/>
            <w:vAlign w:val="center"/>
          </w:tcPr>
          <w:p>
            <w:pPr>
              <w:spacing w:line="360" w:lineRule="exact"/>
              <w:rPr>
                <w:rFonts w:ascii="仿宋_GB2312" w:hAnsi="宋体" w:eastAsia="仿宋_GB2312" w:cs="宋体"/>
                <w:color w:val="000000"/>
                <w:szCs w:val="21"/>
              </w:rPr>
            </w:pPr>
          </w:p>
        </w:tc>
        <w:tc>
          <w:tcPr>
            <w:tcW w:w="1276" w:type="dxa"/>
            <w:vMerge w:val="continue"/>
            <w:vAlign w:val="center"/>
          </w:tcPr>
          <w:p>
            <w:pPr>
              <w:spacing w:line="360" w:lineRule="exact"/>
              <w:jc w:val="center"/>
              <w:rPr>
                <w:rFonts w:ascii="仿宋_GB2312" w:hAnsi="宋体" w:eastAsia="仿宋_GB2312" w:cs="宋体"/>
                <w:color w:val="000000"/>
                <w:szCs w:val="21"/>
              </w:rPr>
            </w:pPr>
          </w:p>
        </w:tc>
        <w:tc>
          <w:tcPr>
            <w:tcW w:w="1276"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p>
        </w:tc>
        <w:tc>
          <w:tcPr>
            <w:tcW w:w="7087"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w:t>
            </w:r>
            <w:r>
              <w:rPr>
                <w:rFonts w:hint="eastAsia"/>
              </w:rPr>
              <w:t xml:space="preserve"> </w:t>
            </w:r>
            <w:r>
              <w:rPr>
                <w:rFonts w:hint="eastAsia" w:ascii="仿宋_GB2312" w:hAnsi="宋体" w:eastAsia="仿宋_GB2312" w:cs="宋体"/>
                <w:color w:val="000000"/>
                <w:szCs w:val="21"/>
              </w:rPr>
              <w:t>目前分所有3个执业律师，今年3月成立以来至今共受理民事案件70余宗，刑事案件2宗，担任20余家企业的法律顾问</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2.已制定《人事管理制度》、《财务管理制度》，并按广东省律师收费标准收费</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3.无行政处罚或行业惩戒的情况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4.3名执业律师均已通过17年度考核，总结已于年审期间提交</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5.未建立党支部，律师党组织关系在总所。</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灭火器配备不足，未按固定放置，无安全生产检查登记台账</w:t>
            </w:r>
          </w:p>
        </w:tc>
        <w:tc>
          <w:tcPr>
            <w:tcW w:w="1418"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现场要求按规定配备、放置灭火器并于本月16日前将整改后的照片发送区司法局备案。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exact"/>
        </w:trPr>
        <w:tc>
          <w:tcPr>
            <w:tcW w:w="699"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5</w:t>
            </w:r>
          </w:p>
        </w:tc>
        <w:tc>
          <w:tcPr>
            <w:tcW w:w="1285"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广东诚公</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（龙华）</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119" w:type="dxa"/>
            <w:vMerge w:val="restart"/>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1.律师事务所业务情况；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2.律师事务所内部管理制度的建立和实施情况；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3.律师事务所、律师受行政奖惩、行业奖惩的情况；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 律师事务所开展律师执业年度考核和上报年度执业总结的情况；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 律师事务所、律师履行行政处罚和实行整改的情况；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6.律师事务所的党建工作情况。</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1.律师事务所天花板、隔断是否存在破损掉灰等情况。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2.灭火器配置情况。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3.检查登记台账情况。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4.电器、电路使用情况。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5.安全出口情况。</w:t>
            </w:r>
          </w:p>
          <w:p>
            <w:pPr>
              <w:spacing w:line="360" w:lineRule="exact"/>
              <w:rPr>
                <w:rFonts w:ascii="仿宋_GB2312" w:hAnsi="宋体" w:eastAsia="仿宋_GB2312" w:cs="宋体"/>
                <w:color w:val="000000"/>
                <w:szCs w:val="21"/>
              </w:rPr>
            </w:pPr>
            <w:r>
              <w:rPr>
                <w:rFonts w:hint="eastAsia" w:ascii="仿宋_GB2312" w:hAnsi="宋体" w:eastAsia="仿宋_GB2312" w:cs="宋体"/>
                <w:color w:val="000000"/>
                <w:szCs w:val="21"/>
              </w:rPr>
              <w:t>6.应急指示灯配备情况。</w:t>
            </w:r>
          </w:p>
        </w:tc>
        <w:tc>
          <w:tcPr>
            <w:tcW w:w="1276" w:type="dxa"/>
            <w:vMerge w:val="restart"/>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深圳市龙华区司法局、</w:t>
            </w:r>
          </w:p>
          <w:p>
            <w:pPr>
              <w:spacing w:line="360" w:lineRule="exact"/>
              <w:jc w:val="center"/>
              <w:rPr>
                <w:rFonts w:ascii="仿宋_GB2312" w:hAnsi="宋体" w:eastAsia="仿宋_GB2312" w:cs="宋体"/>
                <w:color w:val="000000"/>
                <w:szCs w:val="21"/>
              </w:rPr>
            </w:pPr>
            <w:r>
              <w:rPr>
                <w:rFonts w:hint="eastAsia" w:ascii="仿宋_GB2312" w:hAnsi="仿宋_GB2312" w:eastAsia="仿宋_GB2312" w:cs="仿宋_GB2312"/>
                <w:color w:val="000000"/>
                <w:szCs w:val="21"/>
              </w:rPr>
              <w:t>深圳市龙华区安全生产监督管理局</w:t>
            </w:r>
          </w:p>
          <w:p>
            <w:pPr>
              <w:spacing w:line="360" w:lineRule="exact"/>
              <w:jc w:val="center"/>
              <w:rPr>
                <w:rFonts w:ascii="仿宋_GB2312" w:hAnsi="宋体" w:eastAsia="仿宋_GB2312" w:cs="宋体"/>
                <w:color w:val="000000"/>
                <w:szCs w:val="21"/>
              </w:rPr>
            </w:pPr>
          </w:p>
        </w:tc>
        <w:tc>
          <w:tcPr>
            <w:tcW w:w="1276"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p>
        </w:tc>
        <w:tc>
          <w:tcPr>
            <w:tcW w:w="7087"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1派驻律师，1名实习律师。业务较少，主要在总所开展。</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2.有一套较为完善的《管理手册》包含人员管理制度、律师助理管理制度、实习律师管理制度、学习培训制度、投诉查处制度、人事管理制度等</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3.无行政奖惩和行业奖惩情况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4.2018年4月正式开业</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color w:val="000000"/>
                <w:szCs w:val="21"/>
              </w:rPr>
              <w:t>5.分所暂未建立党支部，总所已建立党总支，律师党组织关系均在总所。</w:t>
            </w:r>
            <w:r>
              <w:rPr>
                <w:rFonts w:hint="eastAsia" w:ascii="仿宋_GB2312" w:hAnsi="宋体" w:eastAsia="仿宋_GB2312" w:cs="宋体"/>
                <w:b/>
                <w:color w:val="000000"/>
                <w:szCs w:val="21"/>
              </w:rPr>
              <w:t>二、二、律师事务所安全生产情况：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未配备灭火器、未张贴“安全出口”标识，电箱处未张贴“有电危险”警示标识、一处消防通道堵塞</w:t>
            </w:r>
          </w:p>
        </w:tc>
        <w:tc>
          <w:tcPr>
            <w:tcW w:w="1418"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现场要求按规定配备、放置灭火器、张贴相关标识、清除堵塞消防通道的物品。并于本月16日前将整改后的照片发送区司法局备案。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exact"/>
        </w:trPr>
        <w:tc>
          <w:tcPr>
            <w:tcW w:w="699"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6</w:t>
            </w:r>
          </w:p>
        </w:tc>
        <w:tc>
          <w:tcPr>
            <w:tcW w:w="1285"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普罗米修</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（龙华）</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119" w:type="dxa"/>
            <w:vMerge w:val="continue"/>
            <w:vAlign w:val="center"/>
          </w:tcPr>
          <w:p>
            <w:pPr>
              <w:spacing w:line="360" w:lineRule="exact"/>
              <w:jc w:val="center"/>
              <w:rPr>
                <w:rFonts w:ascii="仿宋_GB2312" w:hAnsi="宋体" w:eastAsia="仿宋_GB2312" w:cs="宋体"/>
                <w:color w:val="000000"/>
                <w:szCs w:val="21"/>
              </w:rPr>
            </w:pPr>
          </w:p>
        </w:tc>
        <w:tc>
          <w:tcPr>
            <w:tcW w:w="1276" w:type="dxa"/>
            <w:vMerge w:val="continue"/>
            <w:vAlign w:val="center"/>
          </w:tcPr>
          <w:p>
            <w:pPr>
              <w:spacing w:line="360" w:lineRule="exact"/>
              <w:jc w:val="center"/>
              <w:rPr>
                <w:rFonts w:ascii="仿宋_GB2312" w:hAnsi="宋体" w:eastAsia="仿宋_GB2312" w:cs="宋体"/>
                <w:color w:val="000000"/>
                <w:szCs w:val="21"/>
              </w:rPr>
            </w:pPr>
          </w:p>
        </w:tc>
        <w:tc>
          <w:tcPr>
            <w:tcW w:w="1276"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p>
        </w:tc>
        <w:tc>
          <w:tcPr>
            <w:tcW w:w="7087"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w:t>
            </w:r>
            <w:r>
              <w:rPr>
                <w:rFonts w:hint="eastAsia"/>
              </w:rPr>
              <w:t xml:space="preserve"> </w:t>
            </w:r>
            <w:r>
              <w:rPr>
                <w:rFonts w:hint="eastAsia" w:ascii="仿宋_GB2312" w:hAnsi="宋体" w:eastAsia="仿宋_GB2312" w:cs="宋体"/>
                <w:color w:val="000000"/>
                <w:szCs w:val="21"/>
              </w:rPr>
              <w:t>分所目前有10名执业律师；</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2.制定了一套较为完善的《规则制度》；</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3.无行业惩戒和行政处罚的情况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4.均已通过年度考核</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5.律所目前有4名党员，尚未建立党支部</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二、律师事务所安全生产情况：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灭火器配备不足，缺少应急指示灯</w:t>
            </w:r>
          </w:p>
        </w:tc>
        <w:tc>
          <w:tcPr>
            <w:tcW w:w="1418" w:type="dxa"/>
            <w:vAlign w:val="center"/>
          </w:tcPr>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现场要求按规定配备灭火器、应急指示灯并于本月16日前将整改后的照片发送区司法局备案。</w:t>
            </w:r>
          </w:p>
        </w:tc>
      </w:tr>
    </w:tbl>
    <w:p/>
    <w:p/>
    <w:sectPr>
      <w:pgSz w:w="16838" w:h="11906" w:orient="landscape"/>
      <w:pgMar w:top="851" w:right="1440" w:bottom="85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光简小标宋">
    <w:altName w:val="方正小标宋_GBK"/>
    <w:panose1 w:val="0201060900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A69A7"/>
    <w:rsid w:val="001D7D70"/>
    <w:rsid w:val="006C5489"/>
    <w:rsid w:val="00747141"/>
    <w:rsid w:val="00880029"/>
    <w:rsid w:val="00991DC6"/>
    <w:rsid w:val="00BF5CC9"/>
    <w:rsid w:val="00E95238"/>
    <w:rsid w:val="00EA69A7"/>
    <w:rsid w:val="72CA560C"/>
    <w:rsid w:val="FFFF9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465</Words>
  <Characters>2653</Characters>
  <Lines>22</Lines>
  <Paragraphs>6</Paragraphs>
  <TotalTime>12</TotalTime>
  <ScaleCrop>false</ScaleCrop>
  <LinksUpToDate>false</LinksUpToDate>
  <CharactersWithSpaces>3112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2018-11-09T15:44:00Z</dcterms:created>
  <dc:creator>叶晓丽</dc:creator>
  <cp:lastModifiedBy>lifugen</cp:lastModifiedBy>
  <dcterms:modified xsi:type="dcterms:W3CDTF">2022-09-08T16:05:09Z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