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华光简小标宋" w:eastAsia="华光简小标宋"/>
          <w:sz w:val="44"/>
          <w:szCs w:val="44"/>
        </w:rPr>
      </w:pPr>
    </w:p>
    <w:p>
      <w:pPr>
        <w:spacing w:line="560" w:lineRule="exact"/>
        <w:jc w:val="center"/>
        <w:rPr>
          <w:rFonts w:ascii="华光简小标宋" w:eastAsia="华光简小标宋"/>
          <w:sz w:val="44"/>
          <w:szCs w:val="44"/>
        </w:rPr>
      </w:pPr>
      <w:bookmarkStart w:id="0" w:name="_GoBack"/>
      <w:r>
        <w:rPr>
          <w:rFonts w:hint="eastAsia" w:ascii="华光简小标宋" w:eastAsia="华光简小标宋"/>
          <w:sz w:val="44"/>
          <w:szCs w:val="44"/>
        </w:rPr>
        <w:t>深圳市龙华区司法局20</w:t>
      </w:r>
      <w:r>
        <w:rPr>
          <w:rFonts w:hint="eastAsia" w:ascii="华光简小标宋" w:eastAsia="华光简小标宋"/>
          <w:sz w:val="44"/>
          <w:szCs w:val="44"/>
          <w:lang w:val="en-US" w:eastAsia="zh-CN"/>
        </w:rPr>
        <w:t>21</w:t>
      </w:r>
      <w:r>
        <w:rPr>
          <w:rFonts w:hint="eastAsia" w:ascii="华光简小标宋" w:eastAsia="华光简小标宋"/>
          <w:sz w:val="44"/>
          <w:szCs w:val="44"/>
        </w:rPr>
        <w:t>年度第</w:t>
      </w:r>
      <w:r>
        <w:rPr>
          <w:rFonts w:hint="eastAsia" w:ascii="华光简小标宋" w:eastAsia="华光简小标宋"/>
          <w:sz w:val="44"/>
          <w:szCs w:val="44"/>
          <w:lang w:eastAsia="zh-CN"/>
        </w:rPr>
        <w:t>一</w:t>
      </w:r>
      <w:r>
        <w:rPr>
          <w:rFonts w:hint="eastAsia" w:ascii="华光简小标宋" w:eastAsia="华光简小标宋"/>
          <w:sz w:val="44"/>
          <w:szCs w:val="44"/>
        </w:rPr>
        <w:t>次</w:t>
      </w:r>
      <w:r>
        <w:rPr>
          <w:rFonts w:hint="eastAsia" w:ascii="华光简小标宋" w:eastAsia="华光简小标宋"/>
          <w:sz w:val="44"/>
          <w:szCs w:val="44"/>
          <w:lang w:eastAsia="zh-CN"/>
        </w:rPr>
        <w:t>龙华公证处</w:t>
      </w:r>
      <w:r>
        <w:rPr>
          <w:rFonts w:hint="eastAsia" w:ascii="华光简小标宋" w:eastAsia="华光简小标宋"/>
          <w:sz w:val="44"/>
          <w:szCs w:val="44"/>
        </w:rPr>
        <w:t>“双随机</w:t>
      </w:r>
      <w:r>
        <w:rPr>
          <w:rFonts w:hint="eastAsia" w:ascii="华光简小标宋" w:eastAsia="华光简小标宋"/>
          <w:sz w:val="44"/>
          <w:szCs w:val="44"/>
          <w:lang w:eastAsia="zh-CN"/>
        </w:rPr>
        <w:t>、</w:t>
      </w:r>
      <w:r>
        <w:rPr>
          <w:rFonts w:hint="eastAsia" w:ascii="华光简小标宋" w:eastAsia="华光简小标宋"/>
          <w:sz w:val="44"/>
          <w:szCs w:val="44"/>
        </w:rPr>
        <w:t>一公开”检查结果公示</w:t>
      </w:r>
      <w:bookmarkEnd w:id="0"/>
    </w:p>
    <w:p>
      <w:pPr>
        <w:spacing w:line="560" w:lineRule="exact"/>
      </w:pPr>
    </w:p>
    <w:p>
      <w:pPr>
        <w:spacing w:line="560" w:lineRule="exact"/>
        <w:rPr>
          <w:rFonts w:hint="eastAsia" w:ascii="仿宋_GB2312" w:eastAsia="仿宋_GB2312"/>
          <w:sz w:val="32"/>
          <w:szCs w:val="32"/>
        </w:rPr>
      </w:pPr>
      <w:r>
        <w:rPr>
          <w:rFonts w:hint="eastAsia" w:ascii="仿宋_GB2312" w:eastAsia="仿宋_GB2312"/>
          <w:sz w:val="32"/>
          <w:szCs w:val="32"/>
        </w:rPr>
        <w:t xml:space="preserve">    为贯彻落实《广东省司法厅关于推行“双随机</w:t>
      </w:r>
      <w:r>
        <w:rPr>
          <w:rFonts w:hint="eastAsia" w:ascii="仿宋_GB2312" w:eastAsia="仿宋_GB2312"/>
          <w:sz w:val="32"/>
          <w:szCs w:val="32"/>
          <w:lang w:eastAsia="zh-CN"/>
        </w:rPr>
        <w:t>、</w:t>
      </w:r>
      <w:r>
        <w:rPr>
          <w:rFonts w:hint="eastAsia" w:ascii="仿宋_GB2312" w:eastAsia="仿宋_GB2312"/>
          <w:sz w:val="32"/>
          <w:szCs w:val="32"/>
        </w:rPr>
        <w:t>一公开”规范事中事后监管的实施方案》（粤司办〔2016〕608号）、《深圳市人民政府办公厅关于全面推行“双随机</w:t>
      </w:r>
      <w:r>
        <w:rPr>
          <w:rFonts w:hint="eastAsia" w:ascii="仿宋_GB2312" w:eastAsia="仿宋_GB2312"/>
          <w:sz w:val="32"/>
          <w:szCs w:val="32"/>
          <w:lang w:eastAsia="zh-CN"/>
        </w:rPr>
        <w:t>、</w:t>
      </w:r>
      <w:r>
        <w:rPr>
          <w:rFonts w:hint="eastAsia" w:ascii="仿宋_GB2312" w:eastAsia="仿宋_GB2312"/>
          <w:sz w:val="32"/>
          <w:szCs w:val="32"/>
        </w:rPr>
        <w:t>一公开”监管工作的通知》（深府办〔2016〕220号）和《深圳市司法局关于印发大力推广随机抽查规范事中事后监管工作实施方案（修订）的通知》（深司〔2017〕123号）文件要求，做好我局20</w:t>
      </w:r>
      <w:r>
        <w:rPr>
          <w:rFonts w:hint="eastAsia" w:ascii="仿宋_GB2312" w:eastAsia="仿宋_GB2312"/>
          <w:sz w:val="32"/>
          <w:szCs w:val="32"/>
          <w:lang w:val="en-US" w:eastAsia="zh-CN"/>
        </w:rPr>
        <w:t>21</w:t>
      </w:r>
      <w:r>
        <w:rPr>
          <w:rFonts w:hint="eastAsia" w:ascii="仿宋_GB2312" w:eastAsia="仿宋_GB2312"/>
          <w:sz w:val="32"/>
          <w:szCs w:val="32"/>
        </w:rPr>
        <w:t>年度“双随机</w:t>
      </w:r>
      <w:r>
        <w:rPr>
          <w:rFonts w:hint="eastAsia" w:ascii="仿宋_GB2312" w:eastAsia="仿宋_GB2312"/>
          <w:sz w:val="32"/>
          <w:szCs w:val="32"/>
          <w:lang w:eastAsia="zh-CN"/>
        </w:rPr>
        <w:t>、</w:t>
      </w:r>
      <w:r>
        <w:rPr>
          <w:rFonts w:hint="eastAsia" w:ascii="仿宋_GB2312" w:eastAsia="仿宋_GB2312"/>
          <w:sz w:val="32"/>
          <w:szCs w:val="32"/>
        </w:rPr>
        <w:t>一公开”工作，我局于20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4月14日对龙华公证处</w:t>
      </w:r>
      <w:r>
        <w:rPr>
          <w:rFonts w:hint="eastAsia" w:ascii="仿宋_GB2312" w:eastAsia="仿宋_GB2312"/>
          <w:sz w:val="32"/>
          <w:szCs w:val="32"/>
          <w:lang w:eastAsia="zh-CN"/>
        </w:rPr>
        <w:t>进行了检查</w:t>
      </w:r>
      <w:r>
        <w:rPr>
          <w:rFonts w:hint="eastAsia" w:ascii="仿宋_GB2312" w:eastAsia="仿宋_GB2312"/>
          <w:sz w:val="32"/>
          <w:szCs w:val="32"/>
        </w:rPr>
        <w:t>，现将检查结果予以公布。</w:t>
      </w:r>
    </w:p>
    <w:p>
      <w:pPr>
        <w:spacing w:line="560" w:lineRule="exact"/>
        <w:jc w:val="center"/>
        <w:rPr>
          <w:rFonts w:hint="eastAsia" w:ascii="华光简小标宋" w:eastAsia="华光简小标宋"/>
          <w:sz w:val="44"/>
          <w:szCs w:val="44"/>
        </w:rPr>
        <w:sectPr>
          <w:pgSz w:w="11906" w:h="16838"/>
          <w:pgMar w:top="1440" w:right="851" w:bottom="1440" w:left="851" w:header="851" w:footer="992" w:gutter="0"/>
          <w:cols w:space="720" w:num="1"/>
          <w:docGrid w:type="lines" w:linePitch="312" w:charSpace="0"/>
        </w:sectPr>
      </w:pPr>
    </w:p>
    <w:p>
      <w:pPr>
        <w:jc w:val="both"/>
        <w:rPr>
          <w:rFonts w:hint="eastAsia" w:ascii="华文中宋" w:hAnsi="华文中宋" w:eastAsia="华文中宋" w:cs="宋体"/>
          <w:b/>
          <w:bCs/>
          <w:kern w:val="0"/>
          <w:sz w:val="36"/>
          <w:szCs w:val="36"/>
        </w:rPr>
      </w:pPr>
    </w:p>
    <w:p>
      <w:pPr>
        <w:jc w:val="both"/>
        <w:rPr>
          <w:rFonts w:hint="eastAsia" w:ascii="华文中宋" w:hAnsi="华文中宋" w:eastAsia="华文中宋" w:cs="宋体"/>
          <w:b/>
          <w:bCs/>
          <w:kern w:val="0"/>
          <w:sz w:val="36"/>
          <w:szCs w:val="36"/>
        </w:rPr>
      </w:pPr>
    </w:p>
    <w:p>
      <w:pPr>
        <w:ind w:firstLine="1260" w:firstLineChars="350"/>
        <w:jc w:val="center"/>
        <w:rPr>
          <w:rFonts w:ascii="华文中宋" w:hAnsi="华文中宋" w:eastAsia="华文中宋" w:cs="宋体"/>
          <w:b/>
          <w:bCs/>
          <w:kern w:val="0"/>
          <w:sz w:val="36"/>
          <w:szCs w:val="36"/>
        </w:rPr>
      </w:pPr>
      <w:r>
        <w:rPr>
          <w:rFonts w:hint="eastAsia" w:ascii="华文中宋" w:hAnsi="华文中宋" w:eastAsia="华文中宋" w:cs="宋体"/>
          <w:b/>
          <w:bCs/>
          <w:kern w:val="0"/>
          <w:sz w:val="36"/>
          <w:szCs w:val="36"/>
          <w:lang w:eastAsia="zh-CN"/>
        </w:rPr>
        <w:t>深圳市</w:t>
      </w:r>
      <w:r>
        <w:rPr>
          <w:rFonts w:hint="eastAsia" w:ascii="华文中宋" w:hAnsi="华文中宋" w:eastAsia="华文中宋" w:cs="宋体"/>
          <w:b/>
          <w:bCs/>
          <w:kern w:val="0"/>
          <w:sz w:val="36"/>
          <w:szCs w:val="36"/>
        </w:rPr>
        <w:t>龙华区</w:t>
      </w:r>
      <w:r>
        <w:rPr>
          <w:rFonts w:hint="eastAsia" w:ascii="华文中宋" w:hAnsi="华文中宋" w:eastAsia="华文中宋" w:cs="宋体"/>
          <w:b/>
          <w:bCs/>
          <w:kern w:val="0"/>
          <w:sz w:val="36"/>
          <w:szCs w:val="36"/>
          <w:lang w:eastAsia="zh-CN"/>
        </w:rPr>
        <w:t>司法局</w:t>
      </w:r>
      <w:r>
        <w:rPr>
          <w:rFonts w:hint="eastAsia" w:ascii="华文中宋" w:hAnsi="华文中宋" w:eastAsia="华文中宋" w:cs="宋体"/>
          <w:b/>
          <w:bCs/>
          <w:kern w:val="0"/>
          <w:sz w:val="36"/>
          <w:szCs w:val="36"/>
        </w:rPr>
        <w:t>20</w:t>
      </w:r>
      <w:r>
        <w:rPr>
          <w:rFonts w:hint="eastAsia" w:ascii="华文中宋" w:hAnsi="华文中宋" w:eastAsia="华文中宋" w:cs="宋体"/>
          <w:b/>
          <w:bCs/>
          <w:kern w:val="0"/>
          <w:sz w:val="36"/>
          <w:szCs w:val="36"/>
          <w:lang w:val="en-US" w:eastAsia="zh-CN"/>
        </w:rPr>
        <w:t>21</w:t>
      </w:r>
      <w:r>
        <w:rPr>
          <w:rFonts w:hint="eastAsia" w:ascii="华文中宋" w:hAnsi="华文中宋" w:eastAsia="华文中宋" w:cs="宋体"/>
          <w:b/>
          <w:bCs/>
          <w:kern w:val="0"/>
          <w:sz w:val="36"/>
          <w:szCs w:val="36"/>
        </w:rPr>
        <w:t>年第</w:t>
      </w:r>
      <w:r>
        <w:rPr>
          <w:rFonts w:hint="eastAsia" w:ascii="华文中宋" w:hAnsi="华文中宋" w:eastAsia="华文中宋" w:cs="宋体"/>
          <w:b/>
          <w:bCs/>
          <w:kern w:val="0"/>
          <w:sz w:val="36"/>
          <w:szCs w:val="36"/>
          <w:lang w:eastAsia="zh-CN"/>
        </w:rPr>
        <w:t>一</w:t>
      </w:r>
      <w:r>
        <w:rPr>
          <w:rFonts w:hint="eastAsia" w:ascii="华文中宋" w:hAnsi="华文中宋" w:eastAsia="华文中宋" w:cs="宋体"/>
          <w:b/>
          <w:bCs/>
          <w:kern w:val="0"/>
          <w:sz w:val="36"/>
          <w:szCs w:val="36"/>
        </w:rPr>
        <w:t>次</w:t>
      </w:r>
      <w:r>
        <w:rPr>
          <w:rFonts w:hint="eastAsia" w:ascii="华文中宋" w:hAnsi="华文中宋" w:eastAsia="华文中宋" w:cs="宋体"/>
          <w:b/>
          <w:bCs/>
          <w:kern w:val="0"/>
          <w:sz w:val="36"/>
          <w:szCs w:val="36"/>
          <w:lang w:eastAsia="zh-CN"/>
        </w:rPr>
        <w:t>龙华公证处</w:t>
      </w:r>
      <w:r>
        <w:rPr>
          <w:rFonts w:hint="eastAsia" w:ascii="华文中宋" w:hAnsi="华文中宋" w:eastAsia="华文中宋" w:cs="宋体"/>
          <w:b/>
          <w:bCs/>
          <w:kern w:val="0"/>
          <w:sz w:val="36"/>
          <w:szCs w:val="36"/>
        </w:rPr>
        <w:t>“双随机”检查结果公示表</w:t>
      </w:r>
    </w:p>
    <w:tbl>
      <w:tblPr>
        <w:tblStyle w:val="4"/>
        <w:tblW w:w="16160"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285"/>
        <w:gridCol w:w="3255"/>
        <w:gridCol w:w="1300"/>
        <w:gridCol w:w="1234"/>
        <w:gridCol w:w="6969"/>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99"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序号</w:t>
            </w:r>
          </w:p>
        </w:tc>
        <w:tc>
          <w:tcPr>
            <w:tcW w:w="1285"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抽查对象</w:t>
            </w:r>
          </w:p>
        </w:tc>
        <w:tc>
          <w:tcPr>
            <w:tcW w:w="3255"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抽查事项</w:t>
            </w:r>
          </w:p>
        </w:tc>
        <w:tc>
          <w:tcPr>
            <w:tcW w:w="1300"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抽查部门</w:t>
            </w:r>
          </w:p>
        </w:tc>
        <w:tc>
          <w:tcPr>
            <w:tcW w:w="1234"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抽查人员</w:t>
            </w:r>
          </w:p>
        </w:tc>
        <w:tc>
          <w:tcPr>
            <w:tcW w:w="6969"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抽查结果</w:t>
            </w:r>
          </w:p>
        </w:tc>
        <w:tc>
          <w:tcPr>
            <w:tcW w:w="1418" w:type="dxa"/>
            <w:vAlign w:val="center"/>
          </w:tcPr>
          <w:p>
            <w:pPr>
              <w:spacing w:line="400" w:lineRule="exact"/>
              <w:ind w:firstLine="120" w:firstLineChars="50"/>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后续处理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4" w:hRule="exact"/>
        </w:trPr>
        <w:tc>
          <w:tcPr>
            <w:tcW w:w="699" w:type="dxa"/>
            <w:vAlign w:val="center"/>
          </w:tcPr>
          <w:p>
            <w:pPr>
              <w:spacing w:line="400" w:lineRule="exact"/>
              <w:jc w:val="center"/>
              <w:rPr>
                <w:rFonts w:ascii="仿宋_GB2312" w:hAnsi="宋体" w:eastAsia="仿宋_GB2312" w:cs="宋体"/>
                <w:color w:val="000000"/>
                <w:szCs w:val="21"/>
              </w:rPr>
            </w:pP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1</w:t>
            </w:r>
          </w:p>
        </w:tc>
        <w:tc>
          <w:tcPr>
            <w:tcW w:w="1285" w:type="dxa"/>
            <w:vAlign w:val="center"/>
          </w:tcPr>
          <w:p>
            <w:pPr>
              <w:spacing w:line="40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龙华公证处</w:t>
            </w:r>
          </w:p>
        </w:tc>
        <w:tc>
          <w:tcPr>
            <w:tcW w:w="3255"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lang w:eastAsia="zh-CN"/>
              </w:rPr>
              <w:t>公证机构及公证员</w:t>
            </w:r>
            <w:r>
              <w:rPr>
                <w:rFonts w:hint="eastAsia" w:ascii="仿宋_GB2312" w:hAnsi="宋体" w:eastAsia="仿宋_GB2312" w:cs="宋体"/>
                <w:b/>
                <w:color w:val="000000"/>
                <w:szCs w:val="21"/>
              </w:rPr>
              <w:t>执业检查：</w:t>
            </w:r>
          </w:p>
          <w:p>
            <w:pPr>
              <w:spacing w:line="360" w:lineRule="exact"/>
              <w:jc w:val="both"/>
              <w:rPr>
                <w:rFonts w:hint="eastAsia" w:ascii="仿宋_GB2312" w:hAnsi="宋体" w:eastAsia="仿宋_GB2312" w:cs="宋体"/>
                <w:color w:val="000000"/>
                <w:szCs w:val="21"/>
              </w:rPr>
            </w:pPr>
            <w:r>
              <w:rPr>
                <w:rFonts w:hint="eastAsia" w:ascii="仿宋_GB2312" w:hAnsi="宋体" w:eastAsia="仿宋_GB2312" w:cs="宋体"/>
                <w:color w:val="000000"/>
                <w:szCs w:val="21"/>
              </w:rPr>
              <w:t>1、公证机构保持法定设立条件的情况；</w:t>
            </w:r>
          </w:p>
          <w:p>
            <w:pPr>
              <w:spacing w:line="360" w:lineRule="exact"/>
              <w:jc w:val="both"/>
              <w:rPr>
                <w:rFonts w:hint="eastAsia" w:ascii="仿宋_GB2312" w:hAnsi="宋体" w:eastAsia="仿宋_GB2312" w:cs="宋体"/>
                <w:color w:val="000000"/>
                <w:szCs w:val="21"/>
              </w:rPr>
            </w:pPr>
            <w:r>
              <w:rPr>
                <w:rFonts w:hint="eastAsia" w:ascii="仿宋_GB2312" w:hAnsi="宋体" w:eastAsia="仿宋_GB2312" w:cs="宋体"/>
                <w:color w:val="000000"/>
                <w:szCs w:val="21"/>
              </w:rPr>
              <w:t>2、公证机构执行应当报批或者备案事项的情况；</w:t>
            </w:r>
          </w:p>
          <w:p>
            <w:pPr>
              <w:spacing w:line="360" w:lineRule="exact"/>
              <w:jc w:val="both"/>
              <w:rPr>
                <w:rFonts w:hint="eastAsia" w:ascii="仿宋_GB2312" w:hAnsi="宋体" w:eastAsia="仿宋_GB2312" w:cs="宋体"/>
                <w:color w:val="000000"/>
                <w:szCs w:val="21"/>
              </w:rPr>
            </w:pPr>
            <w:r>
              <w:rPr>
                <w:rFonts w:hint="eastAsia" w:ascii="仿宋_GB2312" w:hAnsi="宋体" w:eastAsia="仿宋_GB2312" w:cs="宋体"/>
                <w:color w:val="000000"/>
                <w:szCs w:val="21"/>
              </w:rPr>
              <w:t>3、公证机构和公证员的执业情况；</w:t>
            </w:r>
          </w:p>
          <w:p>
            <w:pPr>
              <w:spacing w:line="360" w:lineRule="exact"/>
              <w:jc w:val="both"/>
              <w:rPr>
                <w:rFonts w:hint="eastAsia" w:ascii="仿宋_GB2312" w:hAnsi="宋体" w:eastAsia="仿宋_GB2312" w:cs="宋体"/>
                <w:color w:val="000000"/>
                <w:szCs w:val="21"/>
              </w:rPr>
            </w:pPr>
            <w:r>
              <w:rPr>
                <w:rFonts w:hint="eastAsia" w:ascii="仿宋_GB2312" w:hAnsi="宋体" w:eastAsia="仿宋_GB2312" w:cs="宋体"/>
                <w:color w:val="000000"/>
                <w:szCs w:val="21"/>
              </w:rPr>
              <w:t>4、公证质量的监控情况；</w:t>
            </w:r>
          </w:p>
          <w:p>
            <w:pPr>
              <w:spacing w:line="360" w:lineRule="exact"/>
              <w:jc w:val="both"/>
              <w:rPr>
                <w:rFonts w:hint="eastAsia" w:ascii="仿宋_GB2312" w:hAnsi="宋体" w:eastAsia="仿宋_GB2312" w:cs="宋体"/>
                <w:color w:val="000000"/>
                <w:szCs w:val="21"/>
              </w:rPr>
            </w:pPr>
            <w:r>
              <w:rPr>
                <w:rFonts w:hint="eastAsia" w:ascii="仿宋_GB2312" w:hAnsi="宋体" w:eastAsia="仿宋_GB2312" w:cs="宋体"/>
                <w:color w:val="000000"/>
                <w:szCs w:val="21"/>
              </w:rPr>
              <w:t>5、法律、法规和司法部规定的其他监督检查事项。</w:t>
            </w:r>
          </w:p>
          <w:p>
            <w:pPr>
              <w:spacing w:line="360" w:lineRule="exact"/>
              <w:jc w:val="left"/>
              <w:rPr>
                <w:rFonts w:ascii="仿宋_GB2312" w:hAnsi="宋体" w:eastAsia="仿宋_GB2312" w:cs="宋体"/>
                <w:color w:val="000000"/>
                <w:szCs w:val="21"/>
              </w:rPr>
            </w:pPr>
          </w:p>
          <w:p>
            <w:pPr>
              <w:spacing w:line="360" w:lineRule="exact"/>
              <w:rPr>
                <w:rFonts w:hint="eastAsia" w:ascii="仿宋_GB2312" w:hAnsi="宋体" w:eastAsia="仿宋_GB2312" w:cs="宋体"/>
                <w:color w:val="000000"/>
                <w:szCs w:val="21"/>
              </w:rPr>
            </w:pPr>
          </w:p>
        </w:tc>
        <w:tc>
          <w:tcPr>
            <w:tcW w:w="1300" w:type="dxa"/>
            <w:vAlign w:val="center"/>
          </w:tcPr>
          <w:p>
            <w:pPr>
              <w:spacing w:line="360" w:lineRule="exact"/>
              <w:jc w:val="center"/>
              <w:rPr>
                <w:rFonts w:ascii="仿宋_GB2312" w:hAnsi="宋体" w:eastAsia="仿宋_GB2312" w:cs="宋体"/>
                <w:color w:val="000000"/>
                <w:szCs w:val="21"/>
              </w:rPr>
            </w:pPr>
            <w:r>
              <w:rPr>
                <w:rFonts w:hint="eastAsia" w:ascii="仿宋_GB2312" w:eastAsia="仿宋_GB2312"/>
                <w:color w:val="000000"/>
                <w:szCs w:val="21"/>
              </w:rPr>
              <w:t>深圳市龙华区司法局</w:t>
            </w:r>
          </w:p>
        </w:tc>
        <w:tc>
          <w:tcPr>
            <w:tcW w:w="1234" w:type="dxa"/>
            <w:vAlign w:val="center"/>
          </w:tcPr>
          <w:p>
            <w:pPr>
              <w:spacing w:line="36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唐艺文</w:t>
            </w:r>
          </w:p>
          <w:p>
            <w:pPr>
              <w:spacing w:line="36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夏晓丽</w:t>
            </w:r>
          </w:p>
          <w:p>
            <w:pPr>
              <w:spacing w:line="360" w:lineRule="exact"/>
              <w:jc w:val="center"/>
              <w:rPr>
                <w:rFonts w:ascii="仿宋_GB2312" w:hAnsi="宋体" w:eastAsia="仿宋_GB2312" w:cs="宋体"/>
                <w:color w:val="000000"/>
                <w:szCs w:val="21"/>
              </w:rPr>
            </w:pPr>
          </w:p>
        </w:tc>
        <w:tc>
          <w:tcPr>
            <w:tcW w:w="6969"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lang w:eastAsia="zh-CN"/>
              </w:rPr>
              <w:t>龙华公证处及公证员</w:t>
            </w:r>
            <w:r>
              <w:rPr>
                <w:rFonts w:hint="eastAsia" w:ascii="仿宋_GB2312" w:hAnsi="宋体" w:eastAsia="仿宋_GB2312" w:cs="宋体"/>
                <w:b/>
                <w:color w:val="000000"/>
                <w:szCs w:val="21"/>
              </w:rPr>
              <w:t>执业检查情况：</w:t>
            </w:r>
          </w:p>
          <w:p>
            <w:pPr>
              <w:spacing w:line="360" w:lineRule="exact"/>
              <w:jc w:val="left"/>
              <w:rPr>
                <w:rFonts w:hint="eastAsia" w:ascii="仿宋_GB2312" w:hAnsi="宋体" w:eastAsia="仿宋_GB2312" w:cs="宋体"/>
                <w:color w:val="auto"/>
                <w:szCs w:val="21"/>
                <w:lang w:val="en-US" w:eastAsia="zh-CN"/>
              </w:rPr>
            </w:pPr>
            <w:r>
              <w:rPr>
                <w:rFonts w:hint="eastAsia" w:ascii="仿宋_GB2312" w:hAnsi="宋体" w:eastAsia="仿宋_GB2312" w:cs="宋体"/>
                <w:color w:val="auto"/>
                <w:szCs w:val="21"/>
              </w:rPr>
              <w:t>1.</w:t>
            </w:r>
            <w:r>
              <w:rPr>
                <w:rFonts w:hint="eastAsia" w:ascii="仿宋_GB2312" w:hAnsi="宋体" w:eastAsia="仿宋_GB2312" w:cs="宋体"/>
                <w:color w:val="auto"/>
                <w:szCs w:val="21"/>
                <w:lang w:eastAsia="zh-CN"/>
              </w:rPr>
              <w:t>公证处</w:t>
            </w:r>
            <w:r>
              <w:rPr>
                <w:rFonts w:hint="eastAsia" w:ascii="仿宋_GB2312" w:hAnsi="宋体" w:eastAsia="仿宋_GB2312" w:cs="宋体"/>
                <w:color w:val="auto"/>
                <w:szCs w:val="21"/>
                <w:lang w:val="en-US" w:eastAsia="zh-CN"/>
              </w:rPr>
              <w:t>10名合作人，保持法定设立条件；</w:t>
            </w:r>
          </w:p>
          <w:p>
            <w:pPr>
              <w:spacing w:line="360" w:lineRule="exact"/>
              <w:jc w:val="left"/>
              <w:rPr>
                <w:rFonts w:ascii="仿宋_GB2312" w:hAnsi="宋体" w:eastAsia="仿宋_GB2312" w:cs="宋体"/>
                <w:color w:val="auto"/>
                <w:szCs w:val="21"/>
              </w:rPr>
            </w:pPr>
            <w:r>
              <w:rPr>
                <w:rFonts w:hint="eastAsia" w:ascii="仿宋_GB2312" w:hAnsi="宋体" w:eastAsia="仿宋_GB2312" w:cs="宋体"/>
                <w:color w:val="auto"/>
                <w:szCs w:val="21"/>
              </w:rPr>
              <w:t>2.</w:t>
            </w:r>
            <w:r>
              <w:rPr>
                <w:rFonts w:hint="eastAsia" w:ascii="仿宋_GB2312" w:hAnsi="宋体" w:eastAsia="仿宋_GB2312" w:cs="宋体"/>
                <w:color w:val="auto"/>
                <w:szCs w:val="21"/>
                <w:lang w:eastAsia="zh-CN"/>
              </w:rPr>
              <w:t>无</w:t>
            </w:r>
            <w:r>
              <w:rPr>
                <w:rFonts w:hint="eastAsia" w:ascii="仿宋_GB2312" w:hAnsi="宋体" w:eastAsia="仿宋_GB2312" w:cs="宋体"/>
                <w:color w:val="auto"/>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w:t>
            </w:r>
            <w:r>
              <w:rPr>
                <w:rFonts w:hint="eastAsia" w:ascii="仿宋_GB2312" w:hAnsi="宋体" w:eastAsia="仿宋_GB2312" w:cs="宋体"/>
                <w:color w:val="000000"/>
                <w:szCs w:val="21"/>
                <w:lang w:eastAsia="zh-CN"/>
              </w:rPr>
              <w:t>截止</w:t>
            </w:r>
            <w:r>
              <w:rPr>
                <w:rFonts w:hint="eastAsia" w:ascii="仿宋_GB2312" w:hAnsi="宋体" w:eastAsia="仿宋_GB2312" w:cs="宋体"/>
                <w:color w:val="000000"/>
                <w:szCs w:val="21"/>
                <w:lang w:val="en-US" w:eastAsia="zh-CN"/>
              </w:rPr>
              <w:t>2021年4月14日，受理公证案件9927宗，开展上门公证332次，收费1179.77万元，办证效率较高，有健全内部业务管理制度，整体执业情况良好</w:t>
            </w:r>
            <w:r>
              <w:rPr>
                <w:rFonts w:hint="eastAsia" w:ascii="仿宋_GB2312" w:hAnsi="宋体" w:eastAsia="仿宋_GB2312" w:cs="宋体"/>
                <w:color w:val="000000"/>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4</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严格遵守办证程序，履行告知义务标准规范，公证收费符合管理规定</w:t>
            </w:r>
            <w:r>
              <w:rPr>
                <w:rFonts w:hint="eastAsia" w:ascii="仿宋_GB2312" w:hAnsi="宋体" w:eastAsia="仿宋_GB2312" w:cs="宋体"/>
                <w:color w:val="000000"/>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5</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无。</w:t>
            </w:r>
          </w:p>
          <w:p>
            <w:pPr>
              <w:spacing w:line="360" w:lineRule="exact"/>
              <w:jc w:val="left"/>
              <w:rPr>
                <w:rFonts w:ascii="仿宋_GB2312" w:hAnsi="宋体" w:eastAsia="仿宋_GB2312" w:cs="宋体"/>
                <w:color w:val="000000"/>
                <w:szCs w:val="21"/>
              </w:rPr>
            </w:pPr>
          </w:p>
        </w:tc>
        <w:tc>
          <w:tcPr>
            <w:tcW w:w="1418" w:type="dxa"/>
            <w:vAlign w:val="center"/>
          </w:tcPr>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无</w:t>
            </w:r>
          </w:p>
        </w:tc>
      </w:tr>
    </w:tbl>
    <w:p/>
    <w:sectPr>
      <w:pgSz w:w="16838" w:h="11906" w:orient="landscape"/>
      <w:pgMar w:top="851" w:right="1440" w:bottom="851"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光简小标宋">
    <w:altName w:val="方正小标宋_GBK"/>
    <w:panose1 w:val="02010609000101010101"/>
    <w:charset w:val="86"/>
    <w:family w:val="moder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9A7"/>
    <w:rsid w:val="001D7D70"/>
    <w:rsid w:val="006C5489"/>
    <w:rsid w:val="00747141"/>
    <w:rsid w:val="00880029"/>
    <w:rsid w:val="00991DC6"/>
    <w:rsid w:val="00BF5CC9"/>
    <w:rsid w:val="00E95238"/>
    <w:rsid w:val="00EA69A7"/>
    <w:rsid w:val="012A0919"/>
    <w:rsid w:val="09454163"/>
    <w:rsid w:val="0FD0719D"/>
    <w:rsid w:val="101C6044"/>
    <w:rsid w:val="11F07A18"/>
    <w:rsid w:val="144D6C6F"/>
    <w:rsid w:val="153B6B68"/>
    <w:rsid w:val="181422ED"/>
    <w:rsid w:val="1A8B5CC4"/>
    <w:rsid w:val="22D647F6"/>
    <w:rsid w:val="29A908A4"/>
    <w:rsid w:val="2BA95864"/>
    <w:rsid w:val="2F8F18C8"/>
    <w:rsid w:val="31476DAF"/>
    <w:rsid w:val="342C095B"/>
    <w:rsid w:val="345E0C5B"/>
    <w:rsid w:val="3D9210E7"/>
    <w:rsid w:val="3EBD2CC8"/>
    <w:rsid w:val="405F5A2D"/>
    <w:rsid w:val="434F59D7"/>
    <w:rsid w:val="4D9929EB"/>
    <w:rsid w:val="500709A4"/>
    <w:rsid w:val="5B5F2869"/>
    <w:rsid w:val="5BD65EC2"/>
    <w:rsid w:val="62714A39"/>
    <w:rsid w:val="63D46D16"/>
    <w:rsid w:val="6A662746"/>
    <w:rsid w:val="6B6E4815"/>
    <w:rsid w:val="701C1EDD"/>
    <w:rsid w:val="70B93B9B"/>
    <w:rsid w:val="75F459CB"/>
    <w:rsid w:val="BEAFB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465</Words>
  <Characters>2653</Characters>
  <Lines>22</Lines>
  <Paragraphs>6</Paragraphs>
  <TotalTime>33</TotalTime>
  <ScaleCrop>false</ScaleCrop>
  <LinksUpToDate>false</LinksUpToDate>
  <CharactersWithSpaces>3112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2018-11-09T15:44:00Z</dcterms:created>
  <dc:creator>叶晓丽</dc:creator>
  <cp:lastModifiedBy>lifugen</cp:lastModifiedBy>
  <cp:lastPrinted>2019-12-12T14:30:00Z</cp:lastPrinted>
  <dcterms:modified xsi:type="dcterms:W3CDTF">2022-09-08T15:53:15Z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