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5"/>
          <w:szCs w:val="45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5"/>
          <w:szCs w:val="45"/>
        </w:rPr>
        <w:t>深圳市龙华区民政局2019年“双随机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5"/>
          <w:szCs w:val="45"/>
          <w:lang w:eastAsia="zh-CN"/>
        </w:rPr>
        <w:t>、一公开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5"/>
          <w:szCs w:val="45"/>
        </w:rPr>
        <w:t>”跨部门联合抽查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5"/>
          <w:szCs w:val="45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5"/>
          <w:szCs w:val="45"/>
        </w:rPr>
        <w:t>检查结果公示</w:t>
      </w:r>
    </w:p>
    <w:tbl>
      <w:tblPr>
        <w:tblStyle w:val="3"/>
        <w:tblpPr w:leftFromText="180" w:rightFromText="180" w:vertAnchor="page" w:horzAnchor="page" w:tblpX="1658" w:tblpY="4105"/>
        <w:tblOverlap w:val="never"/>
        <w:tblW w:w="135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1871"/>
        <w:gridCol w:w="4576"/>
        <w:gridCol w:w="1259"/>
        <w:gridCol w:w="1260"/>
        <w:gridCol w:w="2159"/>
        <w:gridCol w:w="16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抽查对象</w:t>
            </w:r>
          </w:p>
        </w:tc>
        <w:tc>
          <w:tcPr>
            <w:tcW w:w="457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抽查事项</w:t>
            </w: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抽查部门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抽查人员</w:t>
            </w:r>
          </w:p>
        </w:tc>
        <w:tc>
          <w:tcPr>
            <w:tcW w:w="215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抽查结果</w:t>
            </w:r>
          </w:p>
        </w:tc>
        <w:tc>
          <w:tcPr>
            <w:tcW w:w="1630" w:type="dxa"/>
            <w:vAlign w:val="center"/>
          </w:tcPr>
          <w:p>
            <w:pPr>
              <w:ind w:firstLine="120" w:firstLineChars="50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后续处理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6" w:hRule="atLeast"/>
        </w:trPr>
        <w:tc>
          <w:tcPr>
            <w:tcW w:w="746" w:type="dxa"/>
            <w:vAlign w:val="center"/>
          </w:tcPr>
          <w:p>
            <w:pPr>
              <w:jc w:val="both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71" w:type="dxa"/>
            <w:vAlign w:val="center"/>
          </w:tcPr>
          <w:p>
            <w:pPr>
              <w:jc w:val="both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深圳龙华远东职业技能训练学校附属观澜培训中心</w:t>
            </w:r>
          </w:p>
        </w:tc>
        <w:tc>
          <w:tcPr>
            <w:tcW w:w="4576" w:type="dxa"/>
            <w:vAlign w:val="center"/>
          </w:tcPr>
          <w:p>
            <w:pPr>
              <w:jc w:val="both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  <w:t>民政局：对抽象对象是否遵循《民办非企业单位登记管理暂行条例》情况进行检查；包括活动情况、是否有与登记信息不一致地方等。</w:t>
            </w:r>
          </w:p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both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  <w:t>民政局</w:t>
            </w:r>
          </w:p>
        </w:tc>
        <w:tc>
          <w:tcPr>
            <w:tcW w:w="1260" w:type="dxa"/>
            <w:vAlign w:val="center"/>
          </w:tcPr>
          <w:p>
            <w:pPr>
              <w:jc w:val="both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  <w:t>彭益芳</w:t>
            </w:r>
          </w:p>
          <w:p>
            <w:pPr>
              <w:jc w:val="both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  <w:t>王杰解</w:t>
            </w:r>
          </w:p>
        </w:tc>
        <w:tc>
          <w:tcPr>
            <w:tcW w:w="215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  <w:t>未发现违规情况</w:t>
            </w:r>
          </w:p>
        </w:tc>
        <w:tc>
          <w:tcPr>
            <w:tcW w:w="163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/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C93C09"/>
    <w:rsid w:val="07686B17"/>
    <w:rsid w:val="34C93C09"/>
    <w:rsid w:val="3B7F2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2019-05-24T15:55:00Z</dcterms:created>
  <dc:creator>沈首梅</dc:creator>
  <cp:lastModifiedBy>user</cp:lastModifiedBy>
  <dcterms:modified xsi:type="dcterms:W3CDTF">2022-09-01T17:17:23Z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</Properties>
</file>