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rPr>
        <w:t>附件</w:t>
      </w:r>
      <w:r>
        <w:rPr>
          <w:rFonts w:hint="eastAsia" w:ascii="仿宋_GB2312" w:hAnsi="仿宋_GB2312" w:eastAsia="仿宋_GB2312" w:cs="仿宋_GB2312"/>
          <w:color w:val="000000"/>
          <w:kern w:val="0"/>
          <w:sz w:val="28"/>
          <w:szCs w:val="28"/>
          <w:lang w:val="en-US" w:eastAsia="zh-CN"/>
        </w:rPr>
        <w:t>2</w:t>
      </w:r>
    </w:p>
    <w:p>
      <w:pPr>
        <w:widowControl/>
        <w:jc w:val="center"/>
        <w:rPr>
          <w:rFonts w:hint="eastAsia" w:asciiTheme="minorEastAsia" w:hAnsiTheme="minorEastAsia" w:eastAsiaTheme="minorEastAsia" w:cstheme="minorEastAsia"/>
          <w:b/>
          <w:bCs/>
          <w:color w:val="000000"/>
          <w:kern w:val="0"/>
          <w:sz w:val="36"/>
          <w:szCs w:val="36"/>
        </w:rPr>
      </w:pPr>
      <w:r>
        <w:rPr>
          <w:rFonts w:hint="eastAsia" w:ascii="方正小标宋简体" w:hAnsi="方正小标宋简体" w:eastAsia="方正小标宋简体" w:cs="方正小标宋简体"/>
          <w:b w:val="0"/>
          <w:bCs w:val="0"/>
          <w:color w:val="000000"/>
          <w:kern w:val="0"/>
          <w:sz w:val="36"/>
          <w:szCs w:val="36"/>
          <w:lang w:val="en-US" w:eastAsia="zh-CN"/>
        </w:rPr>
        <w:t>深圳市</w:t>
      </w:r>
      <w:r>
        <w:rPr>
          <w:rFonts w:hint="eastAsia" w:ascii="方正小标宋简体" w:hAnsi="方正小标宋简体" w:eastAsia="方正小标宋简体" w:cs="方正小标宋简体"/>
          <w:b w:val="0"/>
          <w:bCs w:val="0"/>
          <w:color w:val="000000"/>
          <w:kern w:val="0"/>
          <w:sz w:val="36"/>
          <w:szCs w:val="36"/>
        </w:rPr>
        <w:t>龙华区幼儿园学位类型和积分办法（一）</w:t>
      </w:r>
    </w:p>
    <w:tbl>
      <w:tblPr>
        <w:tblStyle w:val="6"/>
        <w:tblW w:w="15535" w:type="dxa"/>
        <w:tblInd w:w="-81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60"/>
        <w:gridCol w:w="1455"/>
        <w:gridCol w:w="1785"/>
        <w:gridCol w:w="1005"/>
        <w:gridCol w:w="5140"/>
        <w:gridCol w:w="519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960" w:type="dxa"/>
            <w:vMerge w:val="restart"/>
            <w:tcBorders>
              <w:top w:val="single" w:color="000000" w:sz="6" w:space="0"/>
              <w:left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学位</w:t>
            </w:r>
          </w:p>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类型</w:t>
            </w:r>
          </w:p>
        </w:tc>
        <w:tc>
          <w:tcPr>
            <w:tcW w:w="145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ascii="仿宋" w:hAnsi="仿宋" w:eastAsia="仿宋" w:cs="Arial"/>
                <w:color w:val="000000"/>
                <w:kern w:val="0"/>
                <w:sz w:val="24"/>
                <w:szCs w:val="24"/>
              </w:rPr>
            </w:pPr>
            <w:r>
              <w:rPr>
                <w:rFonts w:hint="eastAsia" w:ascii="黑体" w:hAnsi="华文中宋" w:eastAsia="黑体" w:cs="仿宋_GB2312"/>
                <w:kern w:val="0"/>
                <w:sz w:val="24"/>
                <w:szCs w:val="24"/>
              </w:rPr>
              <w:t>户籍类型</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tcPr>
          <w:p>
            <w:pPr>
              <w:widowControl/>
              <w:spacing w:line="225" w:lineRule="atLeast"/>
              <w:ind w:firstLine="240" w:firstLineChars="100"/>
              <w:jc w:val="both"/>
              <w:rPr>
                <w:rFonts w:ascii="黑体" w:hAnsi="华文中宋" w:eastAsia="黑体" w:cs="仿宋_GB2312"/>
                <w:kern w:val="0"/>
                <w:sz w:val="24"/>
                <w:szCs w:val="24"/>
              </w:rPr>
            </w:pPr>
            <w:r>
              <w:rPr>
                <w:rFonts w:hint="eastAsia" w:ascii="黑体" w:hAnsi="华文中宋" w:eastAsia="黑体" w:cs="仿宋_GB2312"/>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基础分</w:t>
            </w:r>
          </w:p>
        </w:tc>
        <w:tc>
          <w:tcPr>
            <w:tcW w:w="10330" w:type="dxa"/>
            <w:gridSpan w:val="2"/>
            <w:tcBorders>
              <w:top w:val="single" w:color="000000" w:sz="6" w:space="0"/>
              <w:left w:val="single" w:color="auto" w:sz="6" w:space="0"/>
              <w:bottom w:val="single" w:color="auto" w:sz="4"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rPr>
              <w:t>加分</w:t>
            </w:r>
            <w:r>
              <w:rPr>
                <w:rFonts w:hint="eastAsia" w:ascii="黑体" w:hAnsi="华文中宋" w:eastAsia="黑体" w:cs="仿宋_GB2312"/>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59" w:hRule="atLeast"/>
        </w:trPr>
        <w:tc>
          <w:tcPr>
            <w:tcW w:w="960" w:type="dxa"/>
            <w:vMerge w:val="continue"/>
            <w:tcBorders>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kern w:val="0"/>
                <w:sz w:val="24"/>
                <w:szCs w:val="24"/>
              </w:rPr>
            </w:pPr>
          </w:p>
        </w:tc>
        <w:tc>
          <w:tcPr>
            <w:tcW w:w="1455" w:type="dxa"/>
            <w:vMerge w:val="continue"/>
            <w:tcBorders>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p>
        </w:tc>
        <w:tc>
          <w:tcPr>
            <w:tcW w:w="1785" w:type="dxa"/>
            <w:vMerge w:val="continue"/>
            <w:tcBorders>
              <w:left w:val="single" w:color="auto" w:sz="6" w:space="0"/>
              <w:bottom w:val="single" w:color="FFFFFF" w:sz="6" w:space="0"/>
              <w:right w:val="single" w:color="auto" w:sz="6" w:space="0"/>
            </w:tcBorders>
            <w:shd w:val="clear" w:color="auto" w:fill="FFFFFF"/>
            <w:tcMar>
              <w:top w:w="0" w:type="dxa"/>
              <w:left w:w="105" w:type="dxa"/>
              <w:bottom w:w="0" w:type="dxa"/>
              <w:right w:w="105" w:type="dxa"/>
            </w:tcMar>
          </w:tcPr>
          <w:p>
            <w:pPr>
              <w:widowControl/>
              <w:spacing w:line="225" w:lineRule="atLeast"/>
              <w:jc w:val="center"/>
              <w:rPr>
                <w:rFonts w:hint="eastAsia" w:ascii="黑体" w:hAnsi="华文中宋" w:eastAsia="黑体" w:cs="仿宋_GB2312"/>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p>
        </w:tc>
        <w:tc>
          <w:tcPr>
            <w:tcW w:w="5140" w:type="dxa"/>
            <w:tcBorders>
              <w:top w:val="single" w:color="auto" w:sz="4" w:space="0"/>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default" w:ascii="黑体" w:hAnsi="华文中宋" w:eastAsia="黑体" w:cs="仿宋_GB2312"/>
                <w:kern w:val="0"/>
                <w:sz w:val="24"/>
                <w:szCs w:val="24"/>
                <w:lang w:val="en-US" w:eastAsia="zh-CN"/>
              </w:rPr>
            </w:pPr>
            <w:r>
              <w:rPr>
                <w:rFonts w:hint="eastAsia" w:ascii="黑体" w:hAnsi="华文中宋" w:eastAsia="黑体" w:cs="仿宋_GB2312"/>
                <w:kern w:val="0"/>
                <w:sz w:val="24"/>
                <w:szCs w:val="24"/>
                <w:lang w:val="en-US" w:eastAsia="zh-CN"/>
              </w:rPr>
              <w:t>深户住房、非深户社保</w:t>
            </w:r>
          </w:p>
        </w:tc>
        <w:tc>
          <w:tcPr>
            <w:tcW w:w="5190" w:type="dxa"/>
            <w:tcBorders>
              <w:top w:val="single" w:color="auto" w:sz="4" w:space="0"/>
              <w:left w:val="single" w:color="auto" w:sz="4"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46"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rPr>
            </w:pPr>
            <w:r>
              <w:rPr>
                <w:rFonts w:hint="eastAsia" w:ascii="仿宋_GB2312" w:hAnsi="华文中宋" w:eastAsia="仿宋_GB2312" w:cs="仿宋_GB2312"/>
                <w:kern w:val="0"/>
                <w:sz w:val="24"/>
              </w:rPr>
              <w:t>第一类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55" w:lineRule="atLeast"/>
              <w:jc w:val="both"/>
              <w:rPr>
                <w:rFonts w:ascii="仿宋" w:hAnsi="仿宋" w:eastAsia="仿宋" w:cs="Arial"/>
                <w:color w:val="000000"/>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b/>
                <w:color w:val="auto"/>
                <w:kern w:val="0"/>
                <w:sz w:val="28"/>
                <w:szCs w:val="28"/>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内商品房或保障型商品房</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highlight w:val="none"/>
                <w:lang w:val="en-US" w:eastAsia="zh-CN"/>
              </w:rPr>
              <w:t>60</w:t>
            </w:r>
          </w:p>
        </w:tc>
        <w:tc>
          <w:tcPr>
            <w:tcW w:w="5140" w:type="dxa"/>
            <w:vMerge w:val="restart"/>
            <w:tcBorders>
              <w:top w:val="single" w:color="000000"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0.1</w:t>
            </w:r>
            <w:r>
              <w:rPr>
                <w:rFonts w:hint="eastAsia" w:ascii="仿宋_GB2312" w:hAnsi="华文中宋" w:eastAsia="仿宋_GB2312" w:cs="仿宋_GB2312"/>
                <w:kern w:val="0"/>
                <w:sz w:val="24"/>
              </w:rPr>
              <w:t>分。</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楷体_GB2312" w:hAnsi="楷体_GB2312" w:eastAsia="楷体_GB2312" w:cs="楷体_GB2312"/>
                <w:b/>
                <w:kern w:val="0"/>
                <w:sz w:val="28"/>
                <w:szCs w:val="28"/>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w:t>
            </w:r>
            <w:r>
              <w:rPr>
                <w:rFonts w:hint="eastAsia" w:ascii="仿宋_GB2312" w:hAnsi="华文中宋" w:eastAsia="仿宋_GB2312" w:cs="仿宋_GB2312"/>
                <w:kern w:val="0"/>
                <w:sz w:val="24"/>
                <w:lang w:eastAsia="zh-CN"/>
              </w:rPr>
              <w:t>入园</w:t>
            </w:r>
            <w:r>
              <w:rPr>
                <w:rFonts w:hint="eastAsia" w:ascii="仿宋_GB2312" w:hAnsi="华文中宋" w:eastAsia="仿宋_GB2312" w:cs="仿宋_GB2312"/>
                <w:kern w:val="0"/>
                <w:sz w:val="24"/>
              </w:rPr>
              <w:t>适龄儿童的父母（或法定监护人）在深圳市缴纳社会保险（</w:t>
            </w:r>
            <w:r>
              <w:rPr>
                <w:rFonts w:hint="eastAsia" w:ascii="仿宋_GB2312" w:hAnsi="华文中宋" w:eastAsia="仿宋_GB2312" w:cs="仿宋_GB2312"/>
                <w:kern w:val="0"/>
                <w:sz w:val="24"/>
                <w:lang w:eastAsia="zh-CN"/>
              </w:rPr>
              <w:t>必须同时购买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，补缴月数不纳入积分。</w:t>
            </w:r>
          </w:p>
        </w:tc>
        <w:tc>
          <w:tcPr>
            <w:tcW w:w="5190" w:type="dxa"/>
            <w:vMerge w:val="restart"/>
            <w:tcBorders>
              <w:top w:val="single" w:color="000000" w:sz="6" w:space="0"/>
              <w:left w:val="single" w:color="auto" w:sz="4"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02"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24"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785" w:type="dxa"/>
            <w:vMerge w:val="continue"/>
            <w:tcBorders>
              <w:left w:val="single" w:color="auto" w:sz="6" w:space="0"/>
              <w:bottom w:val="single" w:color="000000"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27"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vAlign w:val="center"/>
          </w:tcPr>
          <w:p>
            <w:pPr>
              <w:widowControl/>
              <w:rPr>
                <w:rFonts w:hint="eastAsia" w:ascii="仿宋" w:hAnsi="仿宋" w:eastAsia="仿宋_GB2312" w:cs="Arial"/>
                <w:color w:val="auto"/>
                <w:kern w:val="0"/>
                <w:sz w:val="24"/>
                <w:lang w:eastAsia="zh-CN"/>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内租房或公共租赁房</w:t>
            </w:r>
            <w:r>
              <w:rPr>
                <w:rFonts w:hint="eastAsia" w:ascii="仿宋_GB2312" w:hAnsi="华文中宋" w:eastAsia="仿宋_GB2312" w:cs="仿宋_GB2312"/>
                <w:color w:val="auto"/>
                <w:kern w:val="0"/>
                <w:sz w:val="24"/>
                <w:lang w:eastAsia="zh-CN"/>
              </w:rPr>
              <w:t>、其他类住房</w:t>
            </w: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03"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19" w:hRule="atLeast"/>
        </w:trPr>
        <w:tc>
          <w:tcPr>
            <w:tcW w:w="960"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55" w:type="dxa"/>
            <w:tcBorders>
              <w:top w:val="single" w:color="auto" w:sz="6" w:space="0"/>
              <w:left w:val="single" w:color="auto"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非深圳户籍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4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519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234" w:hRule="atLeast"/>
        </w:trPr>
        <w:tc>
          <w:tcPr>
            <w:tcW w:w="15535" w:type="dxa"/>
            <w:gridSpan w:val="6"/>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firstLine="240"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kern w:val="0"/>
                <w:sz w:val="24"/>
              </w:rPr>
              <w:t>1．积分办法（一）适用于住宅小区配套幼儿园</w:t>
            </w:r>
            <w:r>
              <w:rPr>
                <w:rFonts w:hint="eastAsia" w:ascii="仿宋_GB2312" w:hAnsi="仿宋_GB2312" w:eastAsia="仿宋_GB2312" w:cs="仿宋_GB2312"/>
                <w:b/>
                <w:bCs/>
                <w:color w:val="auto"/>
                <w:kern w:val="0"/>
                <w:sz w:val="24"/>
                <w:highlight w:val="none"/>
              </w:rPr>
              <w:t>。</w:t>
            </w:r>
          </w:p>
          <w:p>
            <w:pPr>
              <w:autoSpaceDE w:val="0"/>
              <w:autoSpaceDN w:val="0"/>
              <w:adjustRightInd w:val="0"/>
              <w:snapToGrid w:val="0"/>
              <w:ind w:firstLine="240"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2．以上积分项积分不封顶。</w:t>
            </w:r>
          </w:p>
          <w:p>
            <w:pPr>
              <w:autoSpaceDE w:val="0"/>
              <w:autoSpaceDN w:val="0"/>
              <w:adjustRightInd w:val="0"/>
              <w:snapToGrid w:val="0"/>
              <w:ind w:firstLine="240"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3．招生系统根据户籍、住房类别和社保等条件自动生成学位类型和积分，学位申请材料经“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”数据资源库后台比对和审核后，其学位类型和积分正式有效。</w:t>
            </w:r>
          </w:p>
          <w:p>
            <w:pPr>
              <w:autoSpaceDE w:val="0"/>
              <w:autoSpaceDN w:val="0"/>
              <w:adjustRightInd w:val="0"/>
              <w:snapToGrid w:val="0"/>
              <w:ind w:firstLine="240" w:firstLineChars="100"/>
              <w:rPr>
                <w:rFonts w:hint="eastAsia" w:ascii="仿宋_GB2312" w:hAnsi="仿宋_GB2312" w:eastAsia="仿宋_GB2312" w:cs="仿宋_GB2312"/>
                <w:b/>
                <w:bCs/>
                <w:kern w:val="0"/>
                <w:sz w:val="24"/>
              </w:rPr>
            </w:pPr>
            <w:r>
              <w:rPr>
                <w:rFonts w:hint="eastAsia" w:ascii="仿宋_GB2312" w:hAnsi="仿宋_GB2312" w:eastAsia="仿宋_GB2312" w:cs="仿宋_GB2312"/>
                <w:b/>
                <w:bCs/>
                <w:color w:val="auto"/>
                <w:kern w:val="0"/>
                <w:sz w:val="24"/>
                <w:highlight w:val="none"/>
              </w:rPr>
              <w:t>4．商品房及安居商品房购房合同</w:t>
            </w:r>
            <w:r>
              <w:rPr>
                <w:rFonts w:hint="eastAsia" w:ascii="仿宋_GB2312" w:hAnsi="仿宋_GB2312" w:eastAsia="仿宋_GB2312" w:cs="仿宋_GB2312"/>
                <w:b/>
                <w:bCs/>
                <w:color w:val="auto"/>
                <w:kern w:val="0"/>
                <w:sz w:val="24"/>
                <w:szCs w:val="24"/>
                <w:highlight w:val="none"/>
                <w:lang w:eastAsia="zh-CN"/>
              </w:rPr>
              <w:t>（未到国土部门备案的购房合同不能申请学位）</w:t>
            </w:r>
            <w:r>
              <w:rPr>
                <w:rFonts w:hint="eastAsia" w:ascii="仿宋_GB2312" w:hAnsi="仿宋_GB2312" w:eastAsia="仿宋_GB2312" w:cs="仿宋_GB2312"/>
                <w:b/>
                <w:bCs/>
                <w:color w:val="auto"/>
                <w:kern w:val="0"/>
                <w:sz w:val="24"/>
                <w:highlight w:val="none"/>
              </w:rPr>
              <w:t>、</w:t>
            </w:r>
            <w:r>
              <w:rPr>
                <w:rFonts w:hint="eastAsia" w:ascii="仿宋_GB2312" w:hAnsi="仿宋_GB2312" w:eastAsia="仿宋_GB2312" w:cs="仿宋_GB2312"/>
                <w:b/>
                <w:bCs/>
                <w:color w:val="000000"/>
                <w:kern w:val="0"/>
                <w:sz w:val="24"/>
              </w:rPr>
              <w:t>房屋租赁信息、其他类住房（自建房、军产房、集资房、</w:t>
            </w:r>
            <w:r>
              <w:rPr>
                <w:rFonts w:hint="eastAsia" w:ascii="仿宋_GB2312" w:hAnsi="仿宋_GB2312" w:eastAsia="仿宋_GB2312" w:cs="仿宋_GB2312"/>
                <w:b/>
                <w:bCs/>
                <w:color w:val="000000"/>
                <w:kern w:val="0"/>
                <w:sz w:val="24"/>
                <w:lang w:eastAsia="zh-CN"/>
              </w:rPr>
              <w:t>小产权房、租房但未办理房屋租赁凭证或房屋租赁信息、</w:t>
            </w:r>
            <w:r>
              <w:rPr>
                <w:rFonts w:hint="eastAsia" w:ascii="仿宋_GB2312" w:hAnsi="仿宋_GB2312" w:eastAsia="仿宋_GB2312" w:cs="仿宋_GB2312"/>
                <w:b/>
                <w:bCs/>
                <w:color w:val="000000"/>
                <w:kern w:val="0"/>
                <w:sz w:val="24"/>
              </w:rPr>
              <w:t>集体宿舍</w:t>
            </w:r>
            <w:r>
              <w:rPr>
                <w:rFonts w:hint="eastAsia" w:ascii="仿宋_GB2312" w:hAnsi="仿宋_GB2312" w:eastAsia="仿宋_GB2312" w:cs="仿宋_GB2312"/>
                <w:b/>
                <w:bCs/>
                <w:color w:val="000000"/>
                <w:kern w:val="0"/>
                <w:sz w:val="24"/>
                <w:lang w:eastAsia="zh-CN"/>
              </w:rPr>
              <w:t>等</w:t>
            </w:r>
            <w:r>
              <w:rPr>
                <w:rFonts w:hint="eastAsia" w:ascii="仿宋_GB2312" w:hAnsi="仿宋_GB2312" w:eastAsia="仿宋_GB2312" w:cs="仿宋_GB2312"/>
                <w:b/>
                <w:bCs/>
                <w:color w:val="000000"/>
                <w:kern w:val="0"/>
                <w:sz w:val="24"/>
              </w:rPr>
              <w:t>）可作为住房材料申请学位，但不参与积分。</w:t>
            </w:r>
          </w:p>
        </w:tc>
      </w:tr>
    </w:tbl>
    <w:p>
      <w:pPr>
        <w:widowControl/>
        <w:jc w:val="center"/>
        <w:rPr>
          <w:rFonts w:hint="eastAsia" w:ascii="方正小标宋简体" w:hAnsi="方正小标宋简体" w:eastAsia="方正小标宋简体" w:cs="方正小标宋简体"/>
          <w:b w:val="0"/>
          <w:bCs w:val="0"/>
          <w:color w:val="000000"/>
          <w:kern w:val="0"/>
          <w:sz w:val="36"/>
          <w:szCs w:val="36"/>
          <w:lang w:val="en-US" w:eastAsia="zh-CN"/>
        </w:rPr>
      </w:pPr>
      <w:r>
        <w:rPr>
          <w:rFonts w:hint="eastAsia" w:ascii="方正小标宋简体" w:hAnsi="方正小标宋简体" w:eastAsia="方正小标宋简体" w:cs="方正小标宋简体"/>
          <w:b w:val="0"/>
          <w:bCs w:val="0"/>
          <w:color w:val="000000"/>
          <w:kern w:val="0"/>
          <w:sz w:val="36"/>
          <w:szCs w:val="36"/>
          <w:lang w:val="en-US" w:eastAsia="zh-CN"/>
        </w:rPr>
        <w:t>深圳市龙华区幼儿园学位类型和积分办法（二）</w:t>
      </w:r>
    </w:p>
    <w:tbl>
      <w:tblPr>
        <w:tblStyle w:val="6"/>
        <w:tblW w:w="15550" w:type="dxa"/>
        <w:tblInd w:w="-82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185"/>
        <w:gridCol w:w="1420"/>
        <w:gridCol w:w="1610"/>
        <w:gridCol w:w="1005"/>
        <w:gridCol w:w="5140"/>
        <w:gridCol w:w="519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21" w:hRule="atLeast"/>
        </w:trPr>
        <w:tc>
          <w:tcPr>
            <w:tcW w:w="1185" w:type="dxa"/>
            <w:vMerge w:val="restart"/>
            <w:tcBorders>
              <w:top w:val="single" w:color="000000" w:sz="6" w:space="0"/>
              <w:left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学位</w:t>
            </w:r>
          </w:p>
          <w:p>
            <w:pPr>
              <w:autoSpaceDE w:val="0"/>
              <w:autoSpaceDN w:val="0"/>
              <w:adjustRightInd w:val="0"/>
              <w:snapToGrid w:val="0"/>
              <w:jc w:val="center"/>
              <w:rPr>
                <w:rFonts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类型</w:t>
            </w:r>
          </w:p>
        </w:tc>
        <w:tc>
          <w:tcPr>
            <w:tcW w:w="1420"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ascii="仿宋" w:hAnsi="仿宋" w:eastAsia="仿宋" w:cs="Arial"/>
                <w:b w:val="0"/>
                <w:bCs w:val="0"/>
                <w:color w:val="000000"/>
                <w:kern w:val="0"/>
                <w:sz w:val="22"/>
                <w:szCs w:val="22"/>
              </w:rPr>
            </w:pPr>
            <w:r>
              <w:rPr>
                <w:rFonts w:hint="eastAsia" w:ascii="黑体" w:hAnsi="华文中宋" w:eastAsia="黑体" w:cs="仿宋_GB2312"/>
                <w:b w:val="0"/>
                <w:bCs w:val="0"/>
                <w:kern w:val="0"/>
                <w:sz w:val="24"/>
                <w:szCs w:val="24"/>
              </w:rPr>
              <w:t>户籍类型</w:t>
            </w:r>
          </w:p>
        </w:tc>
        <w:tc>
          <w:tcPr>
            <w:tcW w:w="1610" w:type="dxa"/>
            <w:vMerge w:val="restart"/>
            <w:tcBorders>
              <w:top w:val="single" w:color="000000" w:sz="6" w:space="0"/>
              <w:left w:val="single" w:color="auto" w:sz="6"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p>
            <w:pPr>
              <w:widowControl/>
              <w:spacing w:line="225" w:lineRule="atLeast"/>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highlight w:val="none"/>
                <w:lang w:eastAsia="zh-CN"/>
              </w:rPr>
              <w:t>基础分</w:t>
            </w:r>
          </w:p>
        </w:tc>
        <w:tc>
          <w:tcPr>
            <w:tcW w:w="10330" w:type="dxa"/>
            <w:gridSpan w:val="2"/>
            <w:tcBorders>
              <w:top w:val="single" w:color="000000" w:sz="6" w:space="0"/>
              <w:left w:val="single" w:color="auto" w:sz="6" w:space="0"/>
              <w:bottom w:val="single" w:color="auto" w:sz="4"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rPr>
              <w:t>加分</w:t>
            </w:r>
            <w:r>
              <w:rPr>
                <w:rFonts w:hint="eastAsia" w:ascii="黑体" w:hAnsi="华文中宋" w:eastAsia="黑体" w:cs="仿宋_GB2312"/>
                <w:b w:val="0"/>
                <w:bCs w:val="0"/>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85" w:type="dxa"/>
            <w:vMerge w:val="continue"/>
            <w:tcBorders>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p>
        </w:tc>
        <w:tc>
          <w:tcPr>
            <w:tcW w:w="1420" w:type="dxa"/>
            <w:vMerge w:val="continue"/>
            <w:tcBorders>
              <w:left w:val="single" w:color="auto"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rPr>
            </w:pPr>
          </w:p>
        </w:tc>
        <w:tc>
          <w:tcPr>
            <w:tcW w:w="1610" w:type="dxa"/>
            <w:vMerge w:val="continue"/>
            <w:tcBorders>
              <w:left w:val="single" w:color="auto" w:sz="6" w:space="0"/>
              <w:bottom w:val="single" w:color="auto" w:sz="4"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p>
        </w:tc>
        <w:tc>
          <w:tcPr>
            <w:tcW w:w="5140" w:type="dxa"/>
            <w:tcBorders>
              <w:top w:val="single" w:color="auto" w:sz="4" w:space="0"/>
              <w:left w:val="single" w:color="auto" w:sz="6" w:space="0"/>
              <w:bottom w:val="single" w:color="FFFFFF" w:sz="6" w:space="0"/>
              <w:right w:val="single" w:color="auto" w:sz="4"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深户住房、非深户社保</w:t>
            </w:r>
          </w:p>
        </w:tc>
        <w:tc>
          <w:tcPr>
            <w:tcW w:w="5190" w:type="dxa"/>
            <w:tcBorders>
              <w:top w:val="single" w:color="auto" w:sz="4" w:space="0"/>
              <w:left w:val="single" w:color="auto" w:sz="4"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3"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szCs w:val="24"/>
              </w:rPr>
            </w:pPr>
            <w:r>
              <w:rPr>
                <w:rFonts w:hint="eastAsia" w:ascii="仿宋_GB2312" w:hAnsi="华文中宋" w:eastAsia="仿宋_GB2312" w:cs="仿宋_GB2312"/>
                <w:kern w:val="0"/>
                <w:sz w:val="24"/>
              </w:rPr>
              <w:t>第一类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widowControl/>
              <w:spacing w:line="255" w:lineRule="atLeast"/>
              <w:jc w:val="left"/>
              <w:rPr>
                <w:rFonts w:ascii="仿宋" w:hAnsi="仿宋" w:eastAsia="仿宋" w:cs="Arial"/>
                <w:color w:val="000000"/>
                <w:kern w:val="0"/>
                <w:sz w:val="24"/>
                <w:szCs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8"/>
                <w:szCs w:val="28"/>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内商品房或原著居民住房或保障型商品房</w:t>
            </w:r>
          </w:p>
        </w:tc>
        <w:tc>
          <w:tcPr>
            <w:tcW w:w="1005"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highlight w:val="none"/>
                <w:lang w:val="en-US" w:eastAsia="zh-CN"/>
              </w:rPr>
              <w:t>60分</w:t>
            </w:r>
          </w:p>
        </w:tc>
        <w:tc>
          <w:tcPr>
            <w:tcW w:w="5140" w:type="dxa"/>
            <w:vMerge w:val="restart"/>
            <w:tcBorders>
              <w:top w:val="single" w:color="000000" w:sz="6" w:space="0"/>
              <w:left w:val="single" w:color="auto" w:sz="4"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hint="eastAsia"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w:t>
            </w:r>
            <w:r>
              <w:rPr>
                <w:rFonts w:hint="eastAsia" w:ascii="仿宋_GB2312" w:hAnsi="华文中宋" w:eastAsia="仿宋_GB2312" w:cs="仿宋_GB2312"/>
                <w:kern w:val="0"/>
                <w:sz w:val="24"/>
              </w:rPr>
              <w:t>日期每满1个月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仿宋_GB2312" w:hAnsi="华文中宋" w:eastAsia="仿宋_GB2312" w:cs="仿宋_GB2312"/>
                <w:kern w:val="0"/>
                <w:sz w:val="24"/>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按照申请适龄儿童的父母（或法定监护人）在深圳市缴纳社会保险（必须</w:t>
            </w:r>
            <w:r>
              <w:rPr>
                <w:rFonts w:hint="eastAsia" w:ascii="仿宋_GB2312" w:hAnsi="华文中宋" w:eastAsia="仿宋_GB2312" w:cs="仿宋_GB2312"/>
                <w:kern w:val="0"/>
                <w:sz w:val="24"/>
                <w:lang w:eastAsia="zh-CN"/>
              </w:rPr>
              <w:t>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以同时缴纳养老保险和医疗保险的月数作为积分月数，每满</w:t>
            </w:r>
            <w:r>
              <w:rPr>
                <w:rFonts w:hint="eastAsia" w:ascii="仿宋_GB2312" w:hAnsi="华文中宋" w:eastAsia="仿宋_GB2312" w:cs="仿宋_GB2312"/>
                <w:kern w:val="0"/>
                <w:sz w:val="24"/>
                <w:lang w:val="en-US" w:eastAsia="zh-CN"/>
              </w:rPr>
              <w:t>1个月加0.1分，</w:t>
            </w:r>
            <w:r>
              <w:rPr>
                <w:rFonts w:hint="eastAsia" w:ascii="仿宋_GB2312" w:hAnsi="华文中宋" w:eastAsia="仿宋_GB2312" w:cs="仿宋_GB2312"/>
                <w:kern w:val="0"/>
                <w:sz w:val="24"/>
                <w:lang w:eastAsia="zh-CN"/>
              </w:rPr>
              <w:t>补缴月数不纳入积分。</w:t>
            </w:r>
          </w:p>
        </w:tc>
        <w:tc>
          <w:tcPr>
            <w:tcW w:w="5190"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ascii="仿宋" w:hAnsi="仿宋" w:eastAsia="仿宋" w:cs="Arial"/>
                <w:color w:val="000000"/>
                <w:kern w:val="0"/>
                <w:sz w:val="24"/>
                <w:szCs w:val="24"/>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87"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shd w:val="clear" w:color="auto" w:fill="FFFFFF"/>
            <w:noWrap w:val="0"/>
            <w:vAlign w:val="top"/>
          </w:tcPr>
          <w:p>
            <w:pPr>
              <w:widowControl/>
              <w:jc w:val="left"/>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29"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内租房或公共租赁房或其他类住房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86"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55"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w:t>
            </w:r>
            <w:bookmarkStart w:id="0" w:name="_GoBack"/>
            <w:bookmarkEnd w:id="0"/>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1185" w:type="dxa"/>
            <w:tcBorders>
              <w:top w:val="single" w:color="auto" w:sz="6" w:space="0"/>
              <w:left w:val="single" w:color="000000" w:sz="6" w:space="0"/>
              <w:bottom w:val="single" w:color="auto"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20" w:type="dxa"/>
            <w:tcBorders>
              <w:top w:val="single" w:color="auto" w:sz="6" w:space="0"/>
              <w:left w:val="single" w:color="auto" w:sz="6"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内租房或公共租赁房或其他类住房</w:t>
            </w:r>
          </w:p>
        </w:tc>
        <w:tc>
          <w:tcPr>
            <w:tcW w:w="1005" w:type="dxa"/>
            <w:vMerge w:val="continue"/>
            <w:tcBorders>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40"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519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bl>
    <w:p>
      <w:pPr>
        <w:autoSpaceDE w:val="0"/>
        <w:autoSpaceDN w:val="0"/>
        <w:adjustRightInd w:val="0"/>
        <w:snapToGrid w:val="0"/>
        <w:spacing w:line="560" w:lineRule="exact"/>
        <w:ind w:left="2" w:leftChars="-295" w:hanging="621" w:hangingChars="258"/>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left="0" w:leftChars="-180" w:right="-741" w:rightChars="-353" w:hanging="378" w:hangingChars="157"/>
        <w:jc w:val="left"/>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1．积分办法（二）适用于非住宅小区配套幼儿园及住宅小区配套幼儿园有学位富余面向所在社区</w:t>
      </w:r>
      <w:r>
        <w:rPr>
          <w:rFonts w:hint="eastAsia" w:ascii="仿宋_GB2312" w:hAnsi="仿宋_GB2312" w:eastAsia="仿宋_GB2312" w:cs="仿宋_GB2312"/>
          <w:b/>
          <w:bCs/>
          <w:color w:val="auto"/>
          <w:kern w:val="0"/>
          <w:sz w:val="24"/>
          <w:szCs w:val="24"/>
          <w:lang w:val="en-US" w:eastAsia="zh-CN"/>
        </w:rPr>
        <w:t>及周边社区</w:t>
      </w:r>
      <w:r>
        <w:rPr>
          <w:rFonts w:hint="eastAsia" w:ascii="仿宋_GB2312" w:hAnsi="仿宋_GB2312" w:eastAsia="仿宋_GB2312" w:cs="仿宋_GB2312"/>
          <w:b/>
          <w:bCs/>
          <w:color w:val="auto"/>
          <w:kern w:val="0"/>
          <w:sz w:val="24"/>
          <w:szCs w:val="24"/>
        </w:rPr>
        <w:t>扩招情形。</w:t>
      </w:r>
    </w:p>
    <w:p>
      <w:pPr>
        <w:autoSpaceDE w:val="0"/>
        <w:autoSpaceDN w:val="0"/>
        <w:adjustRightInd w:val="0"/>
        <w:snapToGrid w:val="0"/>
        <w:ind w:left="0" w:leftChars="-180"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2．以上积分项积分不封顶。</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3．招生系统根据户籍、住房类别和社保等条件自动生成学位类型和积分，</w:t>
      </w:r>
      <w:r>
        <w:rPr>
          <w:rFonts w:hint="eastAsia" w:ascii="仿宋_GB2312" w:hAnsi="仿宋_GB2312" w:eastAsia="仿宋_GB2312" w:cs="仿宋_GB2312"/>
          <w:b/>
          <w:bCs/>
          <w:color w:val="auto"/>
          <w:kern w:val="0"/>
          <w:sz w:val="24"/>
          <w:highlight w:val="none"/>
        </w:rPr>
        <w:t>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w:t>
      </w:r>
      <w:r>
        <w:rPr>
          <w:rFonts w:hint="eastAsia" w:ascii="仿宋_GB2312" w:hAnsi="仿宋_GB2312" w:eastAsia="仿宋_GB2312" w:cs="仿宋_GB2312"/>
          <w:b/>
          <w:bCs/>
          <w:kern w:val="0"/>
          <w:sz w:val="24"/>
          <w:szCs w:val="24"/>
        </w:rPr>
        <w:t>数据资源库后台比对和审核后，其学位类型和积分正式有效。</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kern w:val="0"/>
          <w:sz w:val="24"/>
          <w:szCs w:val="24"/>
          <w:lang w:val="en-US" w:eastAsia="zh-CN"/>
        </w:rPr>
        <w:t>4</w:t>
      </w:r>
      <w:r>
        <w:rPr>
          <w:rFonts w:hint="eastAsia" w:ascii="仿宋_GB2312" w:hAnsi="仿宋_GB2312" w:eastAsia="仿宋_GB2312" w:cs="仿宋_GB2312"/>
          <w:b/>
          <w:bCs/>
          <w:kern w:val="0"/>
          <w:sz w:val="24"/>
          <w:szCs w:val="24"/>
        </w:rPr>
        <w:t>．</w:t>
      </w:r>
      <w:r>
        <w:rPr>
          <w:rFonts w:hint="eastAsia" w:ascii="仿宋_GB2312" w:hAnsi="仿宋_GB2312" w:eastAsia="仿宋_GB2312" w:cs="仿宋_GB2312"/>
          <w:b/>
          <w:bCs/>
          <w:color w:val="000000"/>
          <w:kern w:val="0"/>
          <w:sz w:val="24"/>
          <w:szCs w:val="24"/>
        </w:rPr>
        <w:t>商品房及安居商品房购房合同</w:t>
      </w:r>
      <w:r>
        <w:rPr>
          <w:rFonts w:hint="eastAsia" w:ascii="仿宋_GB2312" w:hAnsi="仿宋_GB2312" w:eastAsia="仿宋_GB2312" w:cs="仿宋_GB2312"/>
          <w:b/>
          <w:bCs/>
          <w:color w:val="000000"/>
          <w:kern w:val="0"/>
          <w:sz w:val="24"/>
          <w:szCs w:val="24"/>
          <w:highlight w:val="none"/>
          <w:lang w:eastAsia="zh-CN"/>
        </w:rPr>
        <w:t>（未到国土部门备案的购房合同不能申请学位）</w:t>
      </w:r>
      <w:r>
        <w:rPr>
          <w:rFonts w:hint="eastAsia" w:ascii="仿宋_GB2312" w:hAnsi="仿宋_GB2312" w:eastAsia="仿宋_GB2312" w:cs="仿宋_GB2312"/>
          <w:b/>
          <w:bCs/>
          <w:color w:val="000000"/>
          <w:kern w:val="0"/>
          <w:sz w:val="24"/>
          <w:szCs w:val="24"/>
        </w:rPr>
        <w:t>、房屋租赁信息、其他类住房</w:t>
      </w:r>
      <w:r>
        <w:rPr>
          <w:rFonts w:hint="eastAsia" w:ascii="仿宋_GB2312" w:hAnsi="仿宋_GB2312" w:eastAsia="仿宋_GB2312" w:cs="仿宋_GB2312"/>
          <w:b/>
          <w:bCs/>
          <w:color w:val="000000"/>
          <w:kern w:val="0"/>
          <w:sz w:val="24"/>
        </w:rPr>
        <w:t>（自建房、军产房、集资房、</w:t>
      </w:r>
      <w:r>
        <w:rPr>
          <w:rFonts w:hint="eastAsia" w:ascii="仿宋_GB2312" w:hAnsi="仿宋_GB2312" w:eastAsia="仿宋_GB2312" w:cs="仿宋_GB2312"/>
          <w:b/>
          <w:bCs/>
          <w:color w:val="000000"/>
          <w:kern w:val="0"/>
          <w:sz w:val="24"/>
          <w:lang w:eastAsia="zh-CN"/>
        </w:rPr>
        <w:t>小产权房、租房但未办理房屋租赁凭证或房屋租赁信息、</w:t>
      </w:r>
      <w:r>
        <w:rPr>
          <w:rFonts w:hint="eastAsia" w:ascii="仿宋_GB2312" w:hAnsi="仿宋_GB2312" w:eastAsia="仿宋_GB2312" w:cs="仿宋_GB2312"/>
          <w:b/>
          <w:bCs/>
          <w:color w:val="000000"/>
          <w:kern w:val="0"/>
          <w:sz w:val="24"/>
        </w:rPr>
        <w:t>集体宿舍</w:t>
      </w:r>
      <w:r>
        <w:rPr>
          <w:rFonts w:hint="eastAsia" w:ascii="仿宋_GB2312" w:hAnsi="仿宋_GB2312" w:eastAsia="仿宋_GB2312" w:cs="仿宋_GB2312"/>
          <w:b/>
          <w:bCs/>
          <w:color w:val="000000"/>
          <w:kern w:val="0"/>
          <w:sz w:val="24"/>
          <w:lang w:eastAsia="zh-CN"/>
        </w:rPr>
        <w:t>等</w:t>
      </w:r>
      <w:r>
        <w:rPr>
          <w:rFonts w:hint="eastAsia" w:ascii="仿宋_GB2312" w:hAnsi="仿宋_GB2312" w:eastAsia="仿宋_GB2312" w:cs="仿宋_GB2312"/>
          <w:b/>
          <w:bCs/>
          <w:color w:val="000000"/>
          <w:kern w:val="0"/>
          <w:sz w:val="24"/>
        </w:rPr>
        <w:t>）</w:t>
      </w:r>
      <w:r>
        <w:rPr>
          <w:rFonts w:hint="eastAsia" w:ascii="仿宋_GB2312" w:hAnsi="仿宋_GB2312" w:eastAsia="仿宋_GB2312" w:cs="仿宋_GB2312"/>
          <w:b/>
          <w:bCs/>
          <w:color w:val="000000"/>
          <w:kern w:val="0"/>
          <w:sz w:val="24"/>
          <w:szCs w:val="24"/>
        </w:rPr>
        <w:t>可作为住房材料申请学位，但不参与积分。</w:t>
      </w:r>
    </w:p>
    <w:sectPr>
      <w:pgSz w:w="16838" w:h="11906" w:orient="landscape"/>
      <w:pgMar w:top="166" w:right="1440" w:bottom="4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31EE6"/>
    <w:rsid w:val="00024996"/>
    <w:rsid w:val="00047C01"/>
    <w:rsid w:val="00047DB6"/>
    <w:rsid w:val="00076021"/>
    <w:rsid w:val="000934D5"/>
    <w:rsid w:val="00115248"/>
    <w:rsid w:val="00174AD7"/>
    <w:rsid w:val="001A54F1"/>
    <w:rsid w:val="002754D4"/>
    <w:rsid w:val="003E12E2"/>
    <w:rsid w:val="004367F4"/>
    <w:rsid w:val="004862ED"/>
    <w:rsid w:val="004B1B30"/>
    <w:rsid w:val="0052217D"/>
    <w:rsid w:val="00542AA1"/>
    <w:rsid w:val="005531ED"/>
    <w:rsid w:val="00587C1F"/>
    <w:rsid w:val="00635486"/>
    <w:rsid w:val="0071525E"/>
    <w:rsid w:val="00722395"/>
    <w:rsid w:val="0074279C"/>
    <w:rsid w:val="007A090D"/>
    <w:rsid w:val="007A70B6"/>
    <w:rsid w:val="007A7B64"/>
    <w:rsid w:val="007F58B3"/>
    <w:rsid w:val="008D4CF9"/>
    <w:rsid w:val="008E29B8"/>
    <w:rsid w:val="00961FDB"/>
    <w:rsid w:val="00965A9F"/>
    <w:rsid w:val="00A709A3"/>
    <w:rsid w:val="00A849F2"/>
    <w:rsid w:val="00B12B8A"/>
    <w:rsid w:val="00B15B65"/>
    <w:rsid w:val="00B379DA"/>
    <w:rsid w:val="00B755A4"/>
    <w:rsid w:val="00B91361"/>
    <w:rsid w:val="00B9670D"/>
    <w:rsid w:val="00B968E0"/>
    <w:rsid w:val="00BC1E26"/>
    <w:rsid w:val="00BE4F22"/>
    <w:rsid w:val="00C43F8D"/>
    <w:rsid w:val="00C75AA8"/>
    <w:rsid w:val="00C96A51"/>
    <w:rsid w:val="00CA5845"/>
    <w:rsid w:val="00CA76BE"/>
    <w:rsid w:val="00CE6989"/>
    <w:rsid w:val="00D23994"/>
    <w:rsid w:val="00ED635A"/>
    <w:rsid w:val="00F54200"/>
    <w:rsid w:val="00FC4F96"/>
    <w:rsid w:val="00FD08BA"/>
    <w:rsid w:val="025474B6"/>
    <w:rsid w:val="046A2580"/>
    <w:rsid w:val="04D338ED"/>
    <w:rsid w:val="04F40349"/>
    <w:rsid w:val="05931EE6"/>
    <w:rsid w:val="07A45F69"/>
    <w:rsid w:val="07FC2F4B"/>
    <w:rsid w:val="08E17AC0"/>
    <w:rsid w:val="0A7060F0"/>
    <w:rsid w:val="0A7C5C85"/>
    <w:rsid w:val="0B946A4B"/>
    <w:rsid w:val="0D644422"/>
    <w:rsid w:val="0DA73082"/>
    <w:rsid w:val="0E01540F"/>
    <w:rsid w:val="0E8A2EA5"/>
    <w:rsid w:val="0F65723C"/>
    <w:rsid w:val="10B854E7"/>
    <w:rsid w:val="10F90CDD"/>
    <w:rsid w:val="12C37CD0"/>
    <w:rsid w:val="14073BDB"/>
    <w:rsid w:val="146C3F60"/>
    <w:rsid w:val="15CE7164"/>
    <w:rsid w:val="1641791E"/>
    <w:rsid w:val="16A47295"/>
    <w:rsid w:val="194D071B"/>
    <w:rsid w:val="1A645187"/>
    <w:rsid w:val="1A7761BB"/>
    <w:rsid w:val="1A8746FC"/>
    <w:rsid w:val="1B4431B4"/>
    <w:rsid w:val="1BD708F7"/>
    <w:rsid w:val="1E271BD3"/>
    <w:rsid w:val="1F6A4DC8"/>
    <w:rsid w:val="20660DC6"/>
    <w:rsid w:val="240316F6"/>
    <w:rsid w:val="24146899"/>
    <w:rsid w:val="24172686"/>
    <w:rsid w:val="252C2495"/>
    <w:rsid w:val="274A57F7"/>
    <w:rsid w:val="27E807FD"/>
    <w:rsid w:val="27EC2159"/>
    <w:rsid w:val="28146CD6"/>
    <w:rsid w:val="285B2FB6"/>
    <w:rsid w:val="2883089A"/>
    <w:rsid w:val="291127A5"/>
    <w:rsid w:val="299D23ED"/>
    <w:rsid w:val="2BD05E2D"/>
    <w:rsid w:val="2C596A27"/>
    <w:rsid w:val="2E9231E8"/>
    <w:rsid w:val="2ED81470"/>
    <w:rsid w:val="2F7B4D6D"/>
    <w:rsid w:val="2FCA7624"/>
    <w:rsid w:val="30F372F8"/>
    <w:rsid w:val="31C13360"/>
    <w:rsid w:val="3203217C"/>
    <w:rsid w:val="32F15DFE"/>
    <w:rsid w:val="32FF1536"/>
    <w:rsid w:val="33294EEC"/>
    <w:rsid w:val="33A92064"/>
    <w:rsid w:val="35874CE3"/>
    <w:rsid w:val="37C40CD5"/>
    <w:rsid w:val="37CA6D45"/>
    <w:rsid w:val="39CB2B46"/>
    <w:rsid w:val="39EE16C0"/>
    <w:rsid w:val="3AA249CB"/>
    <w:rsid w:val="3B06083E"/>
    <w:rsid w:val="3C0705C8"/>
    <w:rsid w:val="3C5A1BF3"/>
    <w:rsid w:val="3C5D51E5"/>
    <w:rsid w:val="3EFF3A79"/>
    <w:rsid w:val="3FFF5B4F"/>
    <w:rsid w:val="402E156B"/>
    <w:rsid w:val="43B31E8C"/>
    <w:rsid w:val="442712BC"/>
    <w:rsid w:val="450C6ED4"/>
    <w:rsid w:val="45AF5024"/>
    <w:rsid w:val="46933FE2"/>
    <w:rsid w:val="47223C40"/>
    <w:rsid w:val="476C27D9"/>
    <w:rsid w:val="476D5746"/>
    <w:rsid w:val="485B1771"/>
    <w:rsid w:val="48C56751"/>
    <w:rsid w:val="49433379"/>
    <w:rsid w:val="49A24764"/>
    <w:rsid w:val="4C0308D8"/>
    <w:rsid w:val="4C4A42B7"/>
    <w:rsid w:val="4D2E617B"/>
    <w:rsid w:val="4D8860D9"/>
    <w:rsid w:val="4DD46B8A"/>
    <w:rsid w:val="513333C4"/>
    <w:rsid w:val="517843A6"/>
    <w:rsid w:val="51CD6F6B"/>
    <w:rsid w:val="543B2E4E"/>
    <w:rsid w:val="55594BD9"/>
    <w:rsid w:val="570E3375"/>
    <w:rsid w:val="5BAE2F83"/>
    <w:rsid w:val="5BE91DD5"/>
    <w:rsid w:val="5C754E90"/>
    <w:rsid w:val="5CDF4D8B"/>
    <w:rsid w:val="5D03589A"/>
    <w:rsid w:val="5D7F29EB"/>
    <w:rsid w:val="5E172123"/>
    <w:rsid w:val="5E8855A7"/>
    <w:rsid w:val="5EFF738F"/>
    <w:rsid w:val="626B485B"/>
    <w:rsid w:val="638C6AF9"/>
    <w:rsid w:val="63B669E6"/>
    <w:rsid w:val="65027BE7"/>
    <w:rsid w:val="650D1DD7"/>
    <w:rsid w:val="66B90824"/>
    <w:rsid w:val="685F1C4F"/>
    <w:rsid w:val="68A433FC"/>
    <w:rsid w:val="68FC6D41"/>
    <w:rsid w:val="69F70606"/>
    <w:rsid w:val="6A3008A5"/>
    <w:rsid w:val="6A327686"/>
    <w:rsid w:val="6BF451A5"/>
    <w:rsid w:val="6C19107F"/>
    <w:rsid w:val="6CED5143"/>
    <w:rsid w:val="6D2337E4"/>
    <w:rsid w:val="6D6066FB"/>
    <w:rsid w:val="6DD93DBF"/>
    <w:rsid w:val="6E3D3441"/>
    <w:rsid w:val="6EB67B75"/>
    <w:rsid w:val="6EE567A7"/>
    <w:rsid w:val="6FB72814"/>
    <w:rsid w:val="6FF26A2A"/>
    <w:rsid w:val="707632D2"/>
    <w:rsid w:val="72892EAE"/>
    <w:rsid w:val="73782754"/>
    <w:rsid w:val="74604DE8"/>
    <w:rsid w:val="75D345C7"/>
    <w:rsid w:val="75E7372C"/>
    <w:rsid w:val="77107800"/>
    <w:rsid w:val="78817ECC"/>
    <w:rsid w:val="78C42E32"/>
    <w:rsid w:val="79287574"/>
    <w:rsid w:val="7B131366"/>
    <w:rsid w:val="7F067FD2"/>
    <w:rsid w:val="7F7F5117"/>
    <w:rsid w:val="7F8F1F14"/>
    <w:rsid w:val="7F8F41F5"/>
    <w:rsid w:val="7FCD3A4F"/>
    <w:rsid w:val="F5FB8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character" w:customStyle="1" w:styleId="11">
    <w:name w:val="页眉 字符"/>
    <w:basedOn w:val="7"/>
    <w:link w:val="4"/>
    <w:qFormat/>
    <w:uiPriority w:val="0"/>
    <w:rPr>
      <w:rFonts w:ascii="Times New Roman" w:hAnsi="Times New Roman"/>
      <w:kern w:val="2"/>
      <w:sz w:val="18"/>
      <w:szCs w:val="18"/>
    </w:rPr>
  </w:style>
  <w:style w:type="character" w:customStyle="1" w:styleId="12">
    <w:name w:val="页脚 字符"/>
    <w:basedOn w:val="7"/>
    <w:link w:val="3"/>
    <w:qFormat/>
    <w:uiPriority w:val="0"/>
    <w:rPr>
      <w:rFonts w:ascii="Times New Roman" w:hAnsi="Times New Roman"/>
      <w:kern w:val="2"/>
      <w:sz w:val="18"/>
      <w:szCs w:val="18"/>
    </w:rPr>
  </w:style>
  <w:style w:type="character" w:customStyle="1" w:styleId="13">
    <w:name w:val="未处理的提及1"/>
    <w:basedOn w:val="7"/>
    <w:unhideWhenUsed/>
    <w:qFormat/>
    <w:uiPriority w:val="99"/>
    <w:rPr>
      <w:color w:val="605E5C"/>
      <w:shd w:val="clear" w:color="auto" w:fill="E1DFDD"/>
    </w:rPr>
  </w:style>
  <w:style w:type="character" w:customStyle="1" w:styleId="14">
    <w:name w:val="批注框文本 字符"/>
    <w:basedOn w:val="7"/>
    <w:link w:val="2"/>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5383</Words>
  <Characters>879</Characters>
  <Lines>7</Lines>
  <Paragraphs>12</Paragraphs>
  <TotalTime>8</TotalTime>
  <ScaleCrop>false</ScaleCrop>
  <LinksUpToDate>false</LinksUpToDate>
  <CharactersWithSpaces>6250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2019-04-10T12:21:00Z</dcterms:created>
  <dc:creator>刘碧波</dc:creator>
  <cp:lastModifiedBy>admin1001</cp:lastModifiedBy>
  <cp:lastPrinted>2022-05-28T10:45:00Z</cp:lastPrinted>
  <dcterms:modified xsi:type="dcterms:W3CDTF">2022-05-31T10:28:22Z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