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2760-2014）中规定，干制蔬菜中二氧化硫残留量应≤0.2g/kg。</w:t>
      </w:r>
      <w:r>
        <w:rPr>
          <w:rFonts w:hint="eastAsia" w:ascii="仿宋_GB2312" w:hAnsi="仿宋" w:eastAsia="仿宋_GB2312" w:cs="宋体"/>
          <w:color w:val="auto"/>
          <w:kern w:val="0"/>
          <w:sz w:val="32"/>
          <w:szCs w:val="32"/>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w:t>
      </w:r>
      <w:r>
        <w:rPr>
          <w:rFonts w:hint="eastAsia" w:ascii="楷体_GB2312" w:hAnsi="楷体" w:eastAsia="楷体_GB2312" w:cs="仿宋_GB2312"/>
          <w:b/>
          <w:color w:val="auto"/>
          <w:sz w:val="32"/>
          <w:szCs w:val="32"/>
          <w:lang w:val="en-US" w:eastAsia="zh-CN"/>
        </w:rPr>
        <w:t>二</w:t>
      </w:r>
      <w:r>
        <w:rPr>
          <w:rFonts w:hint="eastAsia" w:ascii="楷体_GB2312" w:hAnsi="楷体" w:eastAsia="楷体_GB2312" w:cs="仿宋_GB2312"/>
          <w:b/>
          <w:color w:val="auto"/>
          <w:sz w:val="32"/>
          <w:szCs w:val="32"/>
          <w:lang w:val="zh-CN" w:eastAsia="zh-CN"/>
        </w:rPr>
        <w:t>）铝的残留量</w:t>
      </w:r>
    </w:p>
    <w:p>
      <w:pPr>
        <w:spacing w:line="560" w:lineRule="exact"/>
        <w:ind w:firstLine="640" w:firstLineChars="200"/>
        <w:rPr>
          <w:rFonts w:hint="eastAsia" w:ascii="仿宋_GB2312" w:hAnsi="仿宋" w:eastAsia="仿宋_GB2312" w:cs="仿宋_GB2312"/>
          <w:color w:val="auto"/>
          <w:sz w:val="32"/>
          <w:szCs w:val="32"/>
          <w:lang w:eastAsia="zh-CN"/>
        </w:rPr>
      </w:pPr>
      <w:r>
        <w:rPr>
          <w:rFonts w:hint="eastAsia" w:ascii="仿宋_GB2312" w:hAnsi="仿宋" w:eastAsia="仿宋_GB2312" w:cs="仿宋_GB2312"/>
          <w:color w:val="auto"/>
          <w:sz w:val="32"/>
          <w:szCs w:val="32"/>
        </w:rPr>
        <w:t>铝作为食品添加剂硫酸铝钾/硫酸铝铵的重要成分，经常会添加在食物中作为膨松剂或稳定剂</w:t>
      </w:r>
      <w:r>
        <w:rPr>
          <w:rFonts w:hint="eastAsia" w:ascii="仿宋_GB2312" w:hAnsi="仿宋" w:cs="仿宋_GB2312"/>
          <w:color w:val="auto"/>
          <w:sz w:val="32"/>
          <w:szCs w:val="32"/>
          <w:lang w:eastAsia="zh-CN"/>
        </w:rPr>
        <w:t>使用</w:t>
      </w:r>
      <w:r>
        <w:rPr>
          <w:rFonts w:hint="eastAsia" w:ascii="仿宋_GB2312" w:hAnsi="仿宋" w:eastAsia="仿宋_GB2312" w:cs="仿宋_GB2312"/>
          <w:color w:val="auto"/>
          <w:sz w:val="32"/>
          <w:szCs w:val="32"/>
        </w:rPr>
        <w:t>。</w:t>
      </w:r>
      <w:r>
        <w:rPr>
          <w:rFonts w:hint="eastAsia" w:ascii="仿宋_GB2312" w:hAnsi="仿宋" w:eastAsia="仿宋_GB2312"/>
          <w:sz w:val="32"/>
          <w:szCs w:val="32"/>
        </w:rPr>
        <w:t>《食品安全国家标准 食品添加剂使用标准》（GB 2760-2014）中规定，</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中的铝的残留量(干样品，以Al计)应≤</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00mg/kg</w:t>
      </w:r>
      <w:r>
        <w:rPr>
          <w:rFonts w:hint="eastAsia" w:ascii="仿宋_GB2312" w:hAnsi="仿宋" w:cs="仿宋_GB2312"/>
          <w:sz w:val="32"/>
          <w:szCs w:val="32"/>
          <w:lang w:eastAsia="zh-CN"/>
        </w:rPr>
        <w:t>；</w:t>
      </w:r>
      <w:r>
        <w:rPr>
          <w:rFonts w:hint="eastAsia" w:ascii="仿宋_GB2312" w:hAnsi="仿宋" w:cs="仿宋_GB2312"/>
          <w:sz w:val="32"/>
          <w:szCs w:val="32"/>
          <w:lang w:val="en-US" w:eastAsia="zh-CN"/>
        </w:rPr>
        <w:t>豆类制品、油炸面制品应</w:t>
      </w:r>
      <w:r>
        <w:rPr>
          <w:rFonts w:hint="eastAsia" w:ascii="仿宋_GB2312" w:hAnsi="仿宋" w:eastAsia="仿宋_GB2312" w:cs="仿宋_GB2312"/>
          <w:sz w:val="32"/>
          <w:szCs w:val="32"/>
        </w:rPr>
        <w:t>≤</w:t>
      </w:r>
      <w:r>
        <w:rPr>
          <w:rFonts w:hint="eastAsia" w:ascii="仿宋_GB2312" w:hAnsi="仿宋" w:cs="仿宋_GB2312"/>
          <w:sz w:val="32"/>
          <w:szCs w:val="32"/>
          <w:lang w:val="en-US" w:eastAsia="zh-CN"/>
        </w:rPr>
        <w:t>1</w:t>
      </w:r>
      <w:r>
        <w:rPr>
          <w:rFonts w:hint="eastAsia" w:ascii="仿宋_GB2312" w:hAnsi="仿宋" w:eastAsia="仿宋_GB2312" w:cs="仿宋_GB2312"/>
          <w:sz w:val="32"/>
          <w:szCs w:val="32"/>
        </w:rPr>
        <w:t>00mg/kg。</w:t>
      </w:r>
      <w:r>
        <w:rPr>
          <w:rFonts w:hint="eastAsia" w:ascii="仿宋_GB2312" w:hAnsi="仿宋" w:eastAsia="仿宋_GB2312"/>
          <w:sz w:val="32"/>
          <w:szCs w:val="32"/>
        </w:rPr>
        <w:t>《绿色食品 淀粉及淀粉制品》（NY/T 1039-2014）中规定,淀粉制品中铝的残留量(干样品，以Al计)不得检出（</w:t>
      </w:r>
      <w:r>
        <w:rPr>
          <w:rFonts w:hint="eastAsia" w:ascii="仿宋_GB2312" w:hAnsi="仿宋" w:eastAsia="仿宋_GB2312"/>
          <w:sz w:val="32"/>
          <w:szCs w:val="32"/>
          <w:lang w:val="en-US" w:eastAsia="zh-CN"/>
        </w:rPr>
        <w:t>＜</w:t>
      </w:r>
      <w:r>
        <w:rPr>
          <w:rFonts w:hint="eastAsia" w:ascii="仿宋_GB2312" w:hAnsi="仿宋" w:eastAsia="仿宋_GB2312"/>
          <w:sz w:val="32"/>
          <w:szCs w:val="32"/>
        </w:rPr>
        <w:t>25 mg/kg）</w:t>
      </w:r>
      <w:r>
        <w:rPr>
          <w:rFonts w:hint="eastAsia" w:ascii="仿宋_GB2312" w:hAnsi="仿宋" w:eastAsia="仿宋_GB2312" w:cs="仿宋_GB2312"/>
          <w:color w:val="auto"/>
          <w:sz w:val="32"/>
          <w:szCs w:val="32"/>
        </w:rPr>
        <w:t>。铝有一定的慢性毒性，摄入铝超标的食品，在体内可造成铝的蓄积，轻者会使食欲减退，引起贫血，重者引起运动失调等健康危害</w:t>
      </w:r>
      <w:r>
        <w:rPr>
          <w:rFonts w:hint="eastAsia" w:ascii="仿宋_GB2312" w:hAnsi="仿宋" w:cs="仿宋_GB2312"/>
          <w:color w:val="auto"/>
          <w:sz w:val="32"/>
          <w:szCs w:val="32"/>
          <w:lang w:eastAsia="zh-CN"/>
        </w:rPr>
        <w:t>。</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三</w:t>
      </w:r>
      <w:r>
        <w:rPr>
          <w:rFonts w:hint="eastAsia" w:ascii="楷体_GB2312" w:hAnsi="楷体" w:eastAsia="楷体_GB2312" w:cs="仿宋_GB2312"/>
          <w:b/>
          <w:sz w:val="32"/>
          <w:szCs w:val="32"/>
          <w:lang w:eastAsia="zh-CN"/>
        </w:rPr>
        <w:t>）大肠菌群</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auto"/>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w:t>
      </w:r>
      <w:r>
        <w:rPr>
          <w:rFonts w:hint="eastAsia" w:ascii="仿宋_GB2312" w:hAnsi="仿宋" w:eastAsia="仿宋_GB2312"/>
          <w:color w:val="auto"/>
          <w:sz w:val="32"/>
          <w:szCs w:val="32"/>
          <w:lang w:val="zh-CN"/>
        </w:rPr>
        <w:t>（每50</w:t>
      </w:r>
      <w:r>
        <w:rPr>
          <w:rFonts w:hint="eastAsia" w:ascii="仿宋_GB2312" w:hAnsi="仿宋" w:eastAsia="仿宋_GB2312"/>
          <w:color w:val="auto"/>
          <w:sz w:val="32"/>
          <w:szCs w:val="32"/>
          <w:lang w:val="en-US" w:eastAsia="zh-CN"/>
        </w:rPr>
        <w:t>c</w:t>
      </w:r>
      <w:r>
        <w:rPr>
          <w:rFonts w:hint="eastAsia" w:ascii="仿宋_GB2312" w:hAnsi="仿宋" w:eastAsia="仿宋_GB2312"/>
          <w:color w:val="auto"/>
          <w:sz w:val="32"/>
          <w:szCs w:val="32"/>
          <w:lang w:val="zh-CN"/>
        </w:rPr>
        <w:t>m</w:t>
      </w:r>
      <w:r>
        <w:rPr>
          <w:rFonts w:hint="eastAsia" w:ascii="仿宋_GB2312" w:hAnsi="仿宋" w:eastAsia="仿宋_GB2312"/>
          <w:color w:val="auto"/>
          <w:sz w:val="32"/>
          <w:szCs w:val="32"/>
          <w:vertAlign w:val="superscript"/>
          <w:lang w:val="zh-CN"/>
        </w:rPr>
        <w:t>2</w:t>
      </w:r>
      <w:r>
        <w:rPr>
          <w:rFonts w:hint="eastAsia" w:ascii="仿宋_GB2312" w:hAnsi="仿宋" w:eastAsia="仿宋_GB2312"/>
          <w:color w:val="auto"/>
          <w:sz w:val="32"/>
          <w:szCs w:val="32"/>
          <w:lang w:val="zh-CN"/>
        </w:rPr>
        <w:t>）中不得检出大肠菌群。</w:t>
      </w:r>
      <w:r>
        <w:rPr>
          <w:rFonts w:hint="eastAsia" w:ascii="仿宋_GB2312" w:hAnsi="仿宋" w:eastAsia="仿宋_GB2312"/>
          <w:color w:val="auto"/>
          <w:sz w:val="32"/>
          <w:szCs w:val="32"/>
        </w:rPr>
        <w:t>餐饮具中检出大肠菌群提示餐饮具可能因清洗消毒不当或交叉污染导致食具受到肠道致病菌污染，如就餐者使用了大肠菌群不合格的餐饮具，可能会出现呕吐、腹泻等消化道疾病。</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四</w:t>
      </w:r>
      <w:r>
        <w:rPr>
          <w:rFonts w:hint="eastAsia" w:ascii="楷体_GB2312" w:hAnsi="楷体" w:eastAsia="楷体_GB2312" w:cs="仿宋_GB2312"/>
          <w:b/>
          <w:sz w:val="32"/>
          <w:szCs w:val="32"/>
          <w:lang w:eastAsia="zh-CN"/>
        </w:rPr>
        <w:t>）过氧化值</w:t>
      </w:r>
    </w:p>
    <w:p>
      <w:pPr>
        <w:spacing w:line="560" w:lineRule="exact"/>
        <w:ind w:firstLine="640" w:firstLineChars="200"/>
        <w:rPr>
          <w:rFonts w:ascii="仿宋_GB2312" w:hAnsi="仿宋" w:eastAsia="仿宋_GB2312"/>
          <w:color w:val="auto"/>
          <w:sz w:val="32"/>
          <w:szCs w:val="32"/>
        </w:rPr>
      </w:pPr>
      <w:r>
        <w:rPr>
          <w:rFonts w:hint="eastAsia" w:ascii="仿宋_GB2312" w:hAnsi="仿宋" w:eastAsia="仿宋_GB2312" w:cs="仿宋"/>
          <w:color w:val="auto"/>
          <w:sz w:val="32"/>
          <w:szCs w:val="32"/>
        </w:rPr>
        <w:t>过氧化值主要反映食品中油脂是否氧化变质。随着油脂被氧化，过氧化值会逐步升高。《食品安全国家标准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的过氧化值(以脂肪计)应≤0.5g/100g</w:t>
      </w:r>
      <w:r>
        <w:rPr>
          <w:rFonts w:hint="eastAsia" w:ascii="仿宋_GB2312" w:hAnsi="仿宋" w:eastAsia="仿宋_GB2312"/>
          <w:sz w:val="32"/>
          <w:szCs w:val="32"/>
        </w:rPr>
        <w:t>。</w:t>
      </w:r>
      <w:r>
        <w:rPr>
          <w:rFonts w:hint="eastAsia" w:ascii="仿宋_GB2312" w:hAnsi="仿宋" w:eastAsia="仿宋_GB2312" w:cs="仿宋"/>
          <w:color w:val="auto"/>
          <w:sz w:val="32"/>
          <w:szCs w:val="32"/>
        </w:rPr>
        <w:t>食用</w:t>
      </w:r>
      <w:r>
        <w:rPr>
          <w:rFonts w:hint="eastAsia" w:ascii="仿宋_GB2312" w:hAnsi="仿宋" w:eastAsia="仿宋_GB2312"/>
          <w:color w:val="auto"/>
          <w:sz w:val="32"/>
          <w:szCs w:val="32"/>
        </w:rPr>
        <w:t>过氧化值过高的食品可能会导致肠胃不适、腹泻等症状。</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五</w:t>
      </w:r>
      <w:r>
        <w:rPr>
          <w:rFonts w:hint="eastAsia" w:ascii="楷体_GB2312" w:hAnsi="楷体" w:eastAsia="楷体_GB2312" w:cs="仿宋_GB2312"/>
          <w:b/>
          <w:sz w:val="32"/>
          <w:szCs w:val="32"/>
          <w:lang w:val="zh-CN" w:eastAsia="zh-CN"/>
        </w:rPr>
        <w:t>）阴离子合成洗涤剂 </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hint="eastAsia" w:ascii="仿宋_GB2312" w:hAnsi="仿宋" w:eastAsia="仿宋_GB2312" w:cs="仿宋"/>
          <w:color w:val="auto"/>
          <w:kern w:val="2"/>
          <w:sz w:val="32"/>
          <w:szCs w:val="32"/>
          <w:lang w:val="zh-CN" w:eastAsia="zh-CN" w:bidi="ar-SA"/>
        </w:rPr>
        <w:t>食品安全国家标准 消毒餐（饮）具》（GB 14934</w:t>
      </w:r>
      <w:r>
        <w:rPr>
          <w:rFonts w:hint="eastAsia" w:ascii="仿宋_GB2312" w:hAnsi="仿宋" w:eastAsia="仿宋_GB2312" w:cs="仿宋"/>
          <w:color w:val="00B0F0"/>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p>
    <w:p>
      <w:pPr>
        <w:widowControl/>
        <w:jc w:val="left"/>
        <w:rPr>
          <w:rFonts w:hint="eastAsia" w:ascii="方正楷体_GB2312" w:hAnsi="方正楷体_GB2312" w:eastAsia="方正楷体_GB2312" w:cs="方正楷体_GB2312"/>
          <w:b/>
          <w:color w:val="auto"/>
          <w:kern w:val="0"/>
          <w:sz w:val="32"/>
          <w:szCs w:val="32"/>
        </w:rPr>
      </w:pPr>
      <w:r>
        <w:rPr>
          <w:rFonts w:hint="eastAsia" w:ascii="方正楷体_GB2312" w:hAnsi="方正楷体_GB2312" w:eastAsia="方正楷体_GB2312" w:cs="方正楷体_GB2312"/>
          <w:b/>
          <w:color w:val="auto"/>
          <w:kern w:val="0"/>
          <w:sz w:val="32"/>
          <w:szCs w:val="32"/>
          <w:lang w:eastAsia="zh-CN"/>
        </w:rPr>
        <w:t>（</w:t>
      </w:r>
      <w:r>
        <w:rPr>
          <w:rFonts w:hint="eastAsia" w:ascii="方正楷体_GB2312" w:hAnsi="方正楷体_GB2312" w:eastAsia="方正楷体_GB2312" w:cs="方正楷体_GB2312"/>
          <w:b/>
          <w:color w:val="auto"/>
          <w:kern w:val="0"/>
          <w:sz w:val="32"/>
          <w:szCs w:val="32"/>
          <w:lang w:val="en-US" w:eastAsia="zh-CN"/>
        </w:rPr>
        <w:t>六</w:t>
      </w:r>
      <w:r>
        <w:rPr>
          <w:rFonts w:hint="eastAsia" w:ascii="方正楷体_GB2312" w:hAnsi="方正楷体_GB2312" w:eastAsia="方正楷体_GB2312" w:cs="方正楷体_GB2312"/>
          <w:b/>
          <w:color w:val="auto"/>
          <w:kern w:val="0"/>
          <w:sz w:val="32"/>
          <w:szCs w:val="32"/>
          <w:lang w:eastAsia="zh-CN"/>
        </w:rPr>
        <w:t>）</w:t>
      </w:r>
      <w:r>
        <w:rPr>
          <w:rFonts w:hint="eastAsia" w:ascii="方正楷体_GB2312" w:hAnsi="方正楷体_GB2312" w:eastAsia="方正楷体_GB2312" w:cs="方正楷体_GB2312"/>
          <w:b/>
          <w:color w:val="auto"/>
          <w:kern w:val="0"/>
          <w:sz w:val="32"/>
          <w:szCs w:val="32"/>
        </w:rPr>
        <w:t>山梨酸及其钾盐（以山梨酸计）</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山梨酸及其钾盐是一种酸性防腐剂，具有较好的抑菌效果和防霉性能，对霉菌、酵母菌和好氧性细菌的生长发育均有抑制作用。</w:t>
      </w:r>
      <w:r>
        <w:rPr>
          <w:rFonts w:hint="eastAsia" w:ascii="仿宋_GB2312" w:hAnsi="仿宋" w:eastAsia="仿宋_GB2312"/>
          <w:sz w:val="32"/>
          <w:szCs w:val="32"/>
        </w:rPr>
        <w:t>《食品安全国家标准 食品添加剂使用标准》（GB 2760-2014）中规定，</w:t>
      </w:r>
      <w:r>
        <w:rPr>
          <w:rFonts w:hint="eastAsia" w:ascii="仿宋_GB2312" w:hAnsi="仿宋" w:eastAsia="仿宋_GB2312"/>
          <w:sz w:val="32"/>
          <w:szCs w:val="32"/>
          <w:lang w:val="en-US" w:eastAsia="zh-CN"/>
        </w:rPr>
        <w:t>粉丝粉条中不得使用</w:t>
      </w:r>
      <w:r>
        <w:rPr>
          <w:rFonts w:hint="eastAsia" w:ascii="仿宋_GB2312" w:hAnsi="仿宋" w:eastAsia="仿宋_GB2312"/>
          <w:sz w:val="32"/>
          <w:szCs w:val="32"/>
        </w:rPr>
        <w:t>山梨酸及其钾盐（以山梨酸计）。</w:t>
      </w:r>
      <w:r>
        <w:rPr>
          <w:rFonts w:hint="eastAsia" w:ascii="仿宋_GB2312" w:hAnsi="仿宋" w:eastAsia="仿宋_GB2312" w:cs="仿宋"/>
          <w:color w:val="000000" w:themeColor="text1"/>
          <w:kern w:val="2"/>
          <w:sz w:val="32"/>
          <w:szCs w:val="32"/>
          <w:lang w:val="zh-CN" w:eastAsia="zh-CN" w:bidi="ar-SA"/>
          <w14:textFill>
            <w14:solidFill>
              <w14:schemeClr w14:val="tx1"/>
            </w14:solidFill>
          </w14:textFill>
        </w:rPr>
        <w:t>山梨酸</w:t>
      </w:r>
      <w:r>
        <w:rPr>
          <w:rFonts w:hint="eastAsia" w:ascii="仿宋_GB2312" w:hAnsi="仿宋" w:eastAsia="仿宋_GB2312" w:cs="仿宋"/>
          <w:color w:val="auto"/>
          <w:kern w:val="2"/>
          <w:sz w:val="32"/>
          <w:szCs w:val="32"/>
          <w:lang w:val="zh-CN" w:eastAsia="zh-CN" w:bidi="ar-SA"/>
        </w:rPr>
        <w:t>及其钾盐是一种相对无毒的食品添加剂，在生物体内可被代谢为二氧化碳和水排出体外。但如果长期食用山梨酸及其钾盐超标的食品，可能会对人体的骨骼生长、肾脏、肝脏健康造成一定影响。</w:t>
      </w:r>
    </w:p>
    <w:p>
      <w:pPr>
        <w:spacing w:line="560" w:lineRule="exact"/>
        <w:ind w:firstLine="643" w:firstLineChars="200"/>
        <w:rPr>
          <w:rFonts w:hint="eastAsia" w:ascii="方正楷体_GB2312" w:hAnsi="方正楷体_GB2312" w:eastAsia="方正楷体_GB2312" w:cs="方正楷体_GB2312"/>
          <w:b/>
          <w:sz w:val="32"/>
          <w:szCs w:val="32"/>
          <w:shd w:val="clear" w:color="auto" w:fill="FFFFFF"/>
        </w:rPr>
      </w:pPr>
      <w:r>
        <w:rPr>
          <w:rFonts w:hint="eastAsia" w:ascii="方正楷体_GB2312" w:hAnsi="方正楷体_GB2312" w:eastAsia="方正楷体_GB2312" w:cs="方正楷体_GB2312"/>
          <w:b/>
          <w:sz w:val="32"/>
          <w:szCs w:val="32"/>
          <w:shd w:val="clear" w:color="auto" w:fill="FFFFFF"/>
        </w:rPr>
        <w:t>（</w:t>
      </w:r>
      <w:r>
        <w:rPr>
          <w:rFonts w:hint="eastAsia" w:ascii="方正楷体_GB2312" w:hAnsi="方正楷体_GB2312" w:eastAsia="方正楷体_GB2312" w:cs="方正楷体_GB2312"/>
          <w:b/>
          <w:sz w:val="32"/>
          <w:szCs w:val="32"/>
          <w:shd w:val="clear" w:color="auto" w:fill="FFFFFF"/>
          <w:lang w:val="en-US" w:eastAsia="zh-CN"/>
        </w:rPr>
        <w:t>七</w:t>
      </w:r>
      <w:r>
        <w:rPr>
          <w:rFonts w:hint="eastAsia" w:ascii="方正楷体_GB2312" w:hAnsi="方正楷体_GB2312" w:eastAsia="方正楷体_GB2312" w:cs="方正楷体_GB2312"/>
          <w:b/>
          <w:sz w:val="32"/>
          <w:szCs w:val="32"/>
          <w:shd w:val="clear" w:color="auto" w:fill="FFFFFF"/>
        </w:rPr>
        <w:t>）氟苯尼考</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氟苯尼考又称氟甲砜霉素，是农业部批准使用的动物专用抗菌药，主要用于敏感细菌所致的猪、鸡、鱼的细菌性疾病。《食品安全国家标准 食品中兽药最大残留限量》（GB 31650-2019）中</w:t>
      </w:r>
      <w:r>
        <w:rPr>
          <w:rFonts w:hint="eastAsia" w:ascii="仿宋_GB2312" w:hAnsi="仿宋" w:eastAsia="仿宋_GB2312" w:cs="Arial"/>
          <w:color w:val="auto"/>
          <w:sz w:val="32"/>
          <w:szCs w:val="32"/>
          <w:shd w:val="clear" w:color="auto" w:fill="FFFFFF"/>
        </w:rPr>
        <w:t>规定，氟苯尼考可用于猪、牛、羊、禽、鱼等，但在产蛋期家禽中禁用（鸡蛋不</w:t>
      </w:r>
      <w:r>
        <w:rPr>
          <w:rFonts w:hint="eastAsia" w:ascii="仿宋_GB2312" w:hAnsi="仿宋" w:eastAsia="仿宋_GB2312" w:cs="Arial"/>
          <w:sz w:val="32"/>
          <w:szCs w:val="32"/>
          <w:shd w:val="clear" w:color="auto" w:fill="FFFFFF"/>
        </w:rPr>
        <w:t>得检出）。正常情况下消费者不必对禽蛋中检出氟苯尼考过于担心，但长期食用氟苯尼考残留超标的蛋品，对人体健康有一定风险。</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w:t>
      </w:r>
      <w:r>
        <w:rPr>
          <w:rFonts w:hint="eastAsia" w:ascii="方正楷体_GB2312" w:hAnsi="方正楷体_GB2312" w:eastAsia="方正楷体_GB2312" w:cs="方正楷体_GB2312"/>
          <w:b/>
          <w:kern w:val="0"/>
          <w:sz w:val="32"/>
          <w:szCs w:val="32"/>
          <w:lang w:val="en-US" w:eastAsia="zh-CN"/>
        </w:rPr>
        <w:t>八</w:t>
      </w:r>
      <w:r>
        <w:rPr>
          <w:rFonts w:hint="eastAsia" w:ascii="方正楷体_GB2312" w:hAnsi="方正楷体_GB2312" w:eastAsia="方正楷体_GB2312" w:cs="方正楷体_GB2312"/>
          <w:b/>
          <w:kern w:val="0"/>
          <w:sz w:val="32"/>
          <w:szCs w:val="32"/>
        </w:rPr>
        <w:t>）氧乐果</w:t>
      </w:r>
    </w:p>
    <w:p>
      <w:pPr>
        <w:spacing w:line="560" w:lineRule="exact"/>
        <w:ind w:firstLine="640" w:firstLineChars="200"/>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氧乐果是一种内吸性强，杀虫活性高的杀虫剂。《食品安全国家标准 食品中农药最大残留限量》（GB 2763-2021）中规定，</w:t>
      </w:r>
      <w:r>
        <w:rPr>
          <w:rFonts w:hint="eastAsia" w:ascii="仿宋_GB2312" w:hAnsi="宋体" w:cs="宋体"/>
          <w:kern w:val="0"/>
          <w:sz w:val="32"/>
          <w:szCs w:val="32"/>
          <w:lang w:val="en-US" w:eastAsia="zh-CN" w:bidi="ar-SA"/>
        </w:rPr>
        <w:t>茄果类</w:t>
      </w:r>
      <w:r>
        <w:rPr>
          <w:rFonts w:hint="eastAsia" w:ascii="仿宋_GB2312" w:hAnsi="宋体" w:eastAsia="仿宋_GB2312" w:cs="宋体"/>
          <w:kern w:val="0"/>
          <w:sz w:val="32"/>
          <w:szCs w:val="32"/>
          <w:lang w:val="en-US" w:eastAsia="zh-CN" w:bidi="ar-SA"/>
        </w:rPr>
        <w:t>蔬菜中氧乐果残留限量值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甚至致癌致突变。</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w:t>
      </w:r>
      <w:r>
        <w:rPr>
          <w:rFonts w:hint="eastAsia" w:ascii="方正楷体_GB2312" w:hAnsi="方正楷体_GB2312" w:eastAsia="方正楷体_GB2312" w:cs="方正楷体_GB2312"/>
          <w:b/>
          <w:kern w:val="0"/>
          <w:sz w:val="32"/>
          <w:szCs w:val="32"/>
          <w:lang w:val="en-US" w:eastAsia="zh-CN"/>
        </w:rPr>
        <w:t>九</w:t>
      </w:r>
      <w:r>
        <w:rPr>
          <w:rFonts w:hint="eastAsia" w:ascii="方正楷体_GB2312" w:hAnsi="方正楷体_GB2312" w:eastAsia="方正楷体_GB2312" w:cs="方正楷体_GB2312"/>
          <w:b/>
          <w:kern w:val="0"/>
          <w:sz w:val="32"/>
          <w:szCs w:val="32"/>
        </w:rPr>
        <w:t>）磺胺类（总量）</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宋体" w:eastAsia="仿宋_GB2312" w:cs="宋体"/>
          <w:b w:val="0"/>
          <w:kern w:val="0"/>
          <w:sz w:val="32"/>
          <w:szCs w:val="32"/>
          <w:lang w:val="en-US" w:eastAsia="zh-CN" w:bidi="ar-SA"/>
        </w:rPr>
      </w:pPr>
      <w:r>
        <w:rPr>
          <w:rFonts w:hint="eastAsia" w:ascii="仿宋_GB2312" w:hAnsi="宋体" w:eastAsia="仿宋_GB2312" w:cs="宋体"/>
          <w:b w:val="0"/>
          <w:kern w:val="0"/>
          <w:sz w:val="32"/>
          <w:szCs w:val="32"/>
          <w:lang w:val="en-US" w:eastAsia="zh-CN" w:bidi="ar-SA"/>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磺胺类在所有食品动物的肌肉和脂肪中的最高残留限量为100μg/kg，但在产蛋期家禽中禁用（鸡蛋、鹅蛋等不得检出）。长期摄入磺胺类超标的动物性食品，可能导致泌尿系统和肝脏损伤等健康危害。</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w:t>
      </w:r>
      <w:r>
        <w:rPr>
          <w:rFonts w:hint="eastAsia" w:ascii="方正楷体_GB2312" w:hAnsi="方正楷体_GB2312" w:eastAsia="方正楷体_GB2312" w:cs="方正楷体_GB2312"/>
          <w:b/>
          <w:kern w:val="0"/>
          <w:sz w:val="32"/>
          <w:szCs w:val="32"/>
          <w:lang w:val="en-US" w:eastAsia="zh-CN"/>
        </w:rPr>
        <w:t>十</w:t>
      </w:r>
      <w:r>
        <w:rPr>
          <w:rFonts w:hint="eastAsia" w:ascii="方正楷体_GB2312" w:hAnsi="方正楷体_GB2312" w:eastAsia="方正楷体_GB2312" w:cs="方正楷体_GB2312"/>
          <w:b/>
          <w:kern w:val="0"/>
          <w:sz w:val="32"/>
          <w:szCs w:val="32"/>
        </w:rPr>
        <w:t>）菌落总数</w:t>
      </w:r>
    </w:p>
    <w:p>
      <w:pPr>
        <w:spacing w:line="560" w:lineRule="exact"/>
        <w:ind w:firstLine="640" w:firstLineChars="200"/>
        <w:rPr>
          <w:rFonts w:hint="eastAsia" w:ascii="仿宋_GB2312" w:hAnsi="宋体" w:eastAsia="仿宋_GB2312" w:cs="宋体"/>
          <w:b w:val="0"/>
          <w:kern w:val="0"/>
          <w:sz w:val="32"/>
          <w:szCs w:val="32"/>
          <w:lang w:val="en-US" w:eastAsia="zh-CN" w:bidi="ar-SA"/>
        </w:rPr>
      </w:pPr>
      <w:r>
        <w:rPr>
          <w:rFonts w:hint="eastAsia" w:ascii="仿宋_GB2312" w:hAnsi="宋体" w:eastAsia="仿宋_GB2312" w:cs="宋体"/>
          <w:b w:val="0"/>
          <w:kern w:val="0"/>
          <w:sz w:val="32"/>
          <w:szCs w:val="32"/>
          <w:lang w:val="en-US" w:eastAsia="zh-CN" w:bidi="ar-SA"/>
        </w:rPr>
        <w:t>菌落总数是指示性微生物指标，并非致病菌指标，主要用来评价食品清洁度，反映食品在生产过程中是否符合卫生要求，一定程度上标志着食品卫生质量的优劣。《食品安全国家标准 糕点、面包》（GB 7099-2015）中规定，从一批产品中采集5个样品，若5个样品的检验结果均小于或等于m值（≤10</w:t>
      </w:r>
      <w:r>
        <w:rPr>
          <w:rFonts w:hint="eastAsia" w:ascii="仿宋_GB2312" w:hAnsi="宋体" w:eastAsia="仿宋_GB2312" w:cs="宋体"/>
          <w:b w:val="0"/>
          <w:kern w:val="0"/>
          <w:sz w:val="32"/>
          <w:szCs w:val="32"/>
          <w:vertAlign w:val="superscript"/>
          <w:lang w:val="en-US" w:eastAsia="zh-CN" w:bidi="ar-SA"/>
        </w:rPr>
        <w:t>4</w:t>
      </w:r>
      <w:r>
        <w:rPr>
          <w:rFonts w:hint="eastAsia" w:ascii="仿宋_GB2312" w:hAnsi="宋体" w:eastAsia="仿宋_GB2312" w:cs="宋体"/>
          <w:b w:val="0"/>
          <w:kern w:val="0"/>
          <w:sz w:val="32"/>
          <w:szCs w:val="32"/>
          <w:lang w:val="en-US" w:eastAsia="zh-CN" w:bidi="ar-SA"/>
        </w:rPr>
        <w:t>CFU/g），则这种情况是允许的；若≤2个样品的结果（X）位于m值和M值之间（10</w:t>
      </w:r>
      <w:r>
        <w:rPr>
          <w:rFonts w:hint="eastAsia" w:ascii="仿宋_GB2312" w:hAnsi="宋体" w:eastAsia="仿宋_GB2312" w:cs="宋体"/>
          <w:b w:val="0"/>
          <w:kern w:val="0"/>
          <w:sz w:val="32"/>
          <w:szCs w:val="32"/>
          <w:vertAlign w:val="superscript"/>
          <w:lang w:val="en-US" w:eastAsia="zh-CN" w:bidi="ar-SA"/>
        </w:rPr>
        <w:t>4</w:t>
      </w:r>
      <w:r>
        <w:rPr>
          <w:rFonts w:hint="eastAsia" w:ascii="仿宋_GB2312" w:hAnsi="宋体" w:eastAsia="仿宋_GB2312" w:cs="宋体"/>
          <w:b w:val="0"/>
          <w:kern w:val="0"/>
          <w:sz w:val="32"/>
          <w:szCs w:val="32"/>
          <w:lang w:val="en-US" w:eastAsia="zh-CN" w:bidi="ar-SA"/>
        </w:rPr>
        <w:t>CFU/g＜X≤10</w:t>
      </w:r>
      <w:r>
        <w:rPr>
          <w:rFonts w:hint="eastAsia" w:ascii="仿宋_GB2312" w:hAnsi="宋体" w:eastAsia="仿宋_GB2312" w:cs="宋体"/>
          <w:b w:val="0"/>
          <w:kern w:val="0"/>
          <w:sz w:val="32"/>
          <w:szCs w:val="32"/>
          <w:vertAlign w:val="superscript"/>
          <w:lang w:val="en-US" w:eastAsia="zh-CN" w:bidi="ar-SA"/>
        </w:rPr>
        <w:t>5</w:t>
      </w:r>
      <w:r>
        <w:rPr>
          <w:rFonts w:hint="eastAsia" w:ascii="仿宋_GB2312" w:hAnsi="宋体" w:eastAsia="仿宋_GB2312" w:cs="宋体"/>
          <w:b w:val="0"/>
          <w:kern w:val="0"/>
          <w:sz w:val="32"/>
          <w:szCs w:val="32"/>
          <w:lang w:val="en-US" w:eastAsia="zh-CN" w:bidi="ar-SA"/>
        </w:rPr>
        <w:t>CFU/g）,则这种情况也是允许的；若有3个及以上的样品检验结果位于m值和M值之间，则这种情况是不允许的；若有任一样品的检验结果大于M值（＞10</w:t>
      </w:r>
      <w:r>
        <w:rPr>
          <w:rFonts w:hint="eastAsia" w:ascii="仿宋_GB2312" w:hAnsi="宋体" w:eastAsia="仿宋_GB2312" w:cs="宋体"/>
          <w:b w:val="0"/>
          <w:kern w:val="0"/>
          <w:sz w:val="32"/>
          <w:szCs w:val="32"/>
          <w:vertAlign w:val="superscript"/>
          <w:lang w:val="en-US" w:eastAsia="zh-CN" w:bidi="ar-SA"/>
        </w:rPr>
        <w:t>5</w:t>
      </w:r>
      <w:r>
        <w:rPr>
          <w:rFonts w:hint="eastAsia" w:ascii="仿宋_GB2312" w:hAnsi="宋体" w:eastAsia="仿宋_GB2312" w:cs="宋体"/>
          <w:b w:val="0"/>
          <w:kern w:val="0"/>
          <w:sz w:val="32"/>
          <w:szCs w:val="32"/>
          <w:lang w:val="en-US" w:eastAsia="zh-CN" w:bidi="ar-SA"/>
        </w:rPr>
        <w:t>CFU/g），则这种情况也是不允许的。食品的菌落总数超标，说明其产品的卫生状况达不到基本的卫生要求，将会破坏食品的营养成分，加速食品的腐败变质，使食品失去食用价值。消费者食用菌落总数超标严重的食品，容易患痢疾等肠道疾病，会引起呕吐、腹泻等症状。</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（十一）灭多威</w:t>
      </w:r>
    </w:p>
    <w:p>
      <w:pPr>
        <w:spacing w:line="560" w:lineRule="exact"/>
        <w:ind w:firstLine="640" w:firstLineChars="200"/>
        <w:rPr>
          <w:rFonts w:hint="eastAsia" w:ascii="仿宋_GB2312" w:hAnsi="宋体" w:eastAsia="仿宋_GB2312" w:cs="宋体"/>
          <w:kern w:val="0"/>
          <w:sz w:val="32"/>
          <w:szCs w:val="32"/>
          <w:lang w:val="en-US" w:eastAsia="zh-CN" w:bidi="ar-SA"/>
        </w:rPr>
      </w:pPr>
      <w:r>
        <w:rPr>
          <w:rFonts w:hint="eastAsia"/>
          <w:lang w:val="en-US" w:eastAsia="zh-CN"/>
        </w:rPr>
        <w:t>灭多威是一种内吸性具有触杀、胃毒作用的氨基甲酸酯类广谱、速效杀虫剂，对蚜虫、棉铃虫等多种害虫有效，可用于粮食、棉花、蔬菜、烟草、水果等作物。</w:t>
      </w:r>
      <w:r>
        <w:rPr>
          <w:rFonts w:hint="eastAsia" w:ascii="仿宋_GB2312" w:hAnsi="宋体" w:eastAsia="仿宋_GB2312" w:cs="宋体"/>
          <w:kern w:val="0"/>
          <w:sz w:val="32"/>
          <w:szCs w:val="32"/>
          <w:lang w:val="en-US" w:eastAsia="zh-CN" w:bidi="ar-SA"/>
        </w:rPr>
        <w:t>《食品安全国家标准 食品中农药最大残留限量》（GB 2763-2021）中规定，</w:t>
      </w:r>
      <w:r>
        <w:rPr>
          <w:rFonts w:hint="eastAsia" w:ascii="仿宋_GB2312" w:hAnsi="宋体" w:cs="宋体"/>
          <w:kern w:val="0"/>
          <w:sz w:val="32"/>
          <w:szCs w:val="32"/>
          <w:lang w:val="en-US" w:eastAsia="zh-CN" w:bidi="ar-SA"/>
        </w:rPr>
        <w:t>茶叶</w:t>
      </w:r>
      <w:r>
        <w:rPr>
          <w:rFonts w:hint="eastAsia" w:ascii="仿宋_GB2312" w:hAnsi="宋体" w:eastAsia="仿宋_GB2312" w:cs="宋体"/>
          <w:kern w:val="0"/>
          <w:sz w:val="32"/>
          <w:szCs w:val="32"/>
          <w:lang w:val="en-US" w:eastAsia="zh-CN" w:bidi="ar-SA"/>
        </w:rPr>
        <w:t>中</w:t>
      </w:r>
      <w:r>
        <w:rPr>
          <w:rFonts w:hint="eastAsia" w:ascii="仿宋_GB2312" w:hAnsi="宋体" w:cs="宋体"/>
          <w:kern w:val="0"/>
          <w:sz w:val="32"/>
          <w:szCs w:val="32"/>
          <w:lang w:val="en-US" w:eastAsia="zh-CN" w:bidi="ar-SA"/>
        </w:rPr>
        <w:t>灭多威</w:t>
      </w:r>
      <w:r>
        <w:rPr>
          <w:rFonts w:hint="eastAsia" w:ascii="仿宋_GB2312" w:hAnsi="宋体" w:eastAsia="仿宋_GB2312" w:cs="宋体"/>
          <w:kern w:val="0"/>
          <w:sz w:val="32"/>
          <w:szCs w:val="32"/>
          <w:lang w:val="en-US" w:eastAsia="zh-CN" w:bidi="ar-SA"/>
        </w:rPr>
        <w:t>残留限量值应≤0.2mg/kg。大部分喷洒的</w:t>
      </w:r>
      <w:r>
        <w:rPr>
          <w:rFonts w:hint="eastAsia" w:ascii="仿宋_GB2312" w:hAnsi="宋体" w:cs="宋体"/>
          <w:kern w:val="0"/>
          <w:sz w:val="32"/>
          <w:szCs w:val="32"/>
          <w:lang w:val="en-US" w:eastAsia="zh-CN" w:bidi="ar-SA"/>
        </w:rPr>
        <w:t>灭多威</w:t>
      </w:r>
      <w:r>
        <w:rPr>
          <w:rFonts w:hint="eastAsia" w:ascii="仿宋_GB2312" w:hAnsi="宋体" w:eastAsia="仿宋_GB2312" w:cs="宋体"/>
          <w:kern w:val="0"/>
          <w:sz w:val="32"/>
          <w:szCs w:val="32"/>
          <w:lang w:val="en-US" w:eastAsia="zh-CN" w:bidi="ar-SA"/>
        </w:rPr>
        <w:t>会逸散在周围的土壤、大气、水体中</w:t>
      </w:r>
      <w:r>
        <w:rPr>
          <w:rFonts w:hint="eastAsia" w:ascii="仿宋_GB2312" w:hAnsi="宋体" w:cs="宋体"/>
          <w:color w:val="00B0F0"/>
          <w:kern w:val="0"/>
          <w:sz w:val="32"/>
          <w:szCs w:val="32"/>
          <w:lang w:val="en-US" w:eastAsia="zh-CN" w:bidi="ar-SA"/>
        </w:rPr>
        <w:t>，</w:t>
      </w:r>
      <w:r>
        <w:rPr>
          <w:rFonts w:hint="eastAsia" w:ascii="仿宋_GB2312" w:hAnsi="宋体" w:cs="宋体"/>
          <w:kern w:val="0"/>
          <w:sz w:val="32"/>
          <w:szCs w:val="32"/>
          <w:lang w:val="en-US" w:eastAsia="zh-CN" w:bidi="ar-SA"/>
        </w:rPr>
        <w:t>食品中</w:t>
      </w:r>
      <w:r>
        <w:rPr>
          <w:rFonts w:hint="eastAsia" w:ascii="仿宋_GB2312" w:hAnsi="宋体" w:eastAsia="仿宋_GB2312" w:cs="宋体"/>
          <w:kern w:val="0"/>
          <w:sz w:val="32"/>
          <w:szCs w:val="32"/>
          <w:lang w:val="en-US" w:eastAsia="zh-CN" w:bidi="ar-SA"/>
        </w:rPr>
        <w:t>残留的</w:t>
      </w:r>
      <w:r>
        <w:rPr>
          <w:rFonts w:hint="eastAsia" w:ascii="仿宋_GB2312" w:hAnsi="宋体" w:cs="宋体"/>
          <w:kern w:val="0"/>
          <w:sz w:val="32"/>
          <w:szCs w:val="32"/>
          <w:lang w:val="en-US" w:eastAsia="zh-CN" w:bidi="ar-SA"/>
        </w:rPr>
        <w:t>灭多威</w:t>
      </w:r>
      <w:r>
        <w:rPr>
          <w:rFonts w:hint="eastAsia" w:ascii="仿宋_GB2312" w:hAnsi="宋体" w:eastAsia="仿宋_GB2312" w:cs="宋体"/>
          <w:kern w:val="0"/>
          <w:sz w:val="32"/>
          <w:szCs w:val="32"/>
          <w:lang w:val="en-US" w:eastAsia="zh-CN" w:bidi="ar-SA"/>
        </w:rPr>
        <w:t>进入人体后</w:t>
      </w:r>
      <w:r>
        <w:rPr>
          <w:rFonts w:hint="eastAsia" w:ascii="仿宋_GB2312" w:hAnsi="仿宋" w:eastAsia="仿宋_GB2312" w:cs="宋体"/>
          <w:color w:val="auto"/>
          <w:kern w:val="0"/>
          <w:sz w:val="32"/>
          <w:szCs w:val="32"/>
        </w:rPr>
        <w:t>则</w:t>
      </w:r>
      <w:r>
        <w:rPr>
          <w:rFonts w:hint="eastAsia" w:ascii="仿宋_GB2312" w:hAnsi="仿宋" w:eastAsia="仿宋_GB2312" w:cs="宋体"/>
          <w:color w:val="000000"/>
          <w:kern w:val="0"/>
          <w:sz w:val="32"/>
          <w:szCs w:val="32"/>
        </w:rPr>
        <w:t>可能对人体健康造成危害</w:t>
      </w:r>
      <w:r>
        <w:rPr>
          <w:rFonts w:hint="eastAsia" w:ascii="仿宋_GB2312" w:hAnsi="仿宋" w:cs="宋体"/>
          <w:color w:val="000000"/>
          <w:kern w:val="0"/>
          <w:sz w:val="32"/>
          <w:szCs w:val="32"/>
          <w:lang w:eastAsia="zh-CN"/>
        </w:rPr>
        <w:t>，</w:t>
      </w:r>
      <w:r>
        <w:rPr>
          <w:rFonts w:hint="eastAsia" w:ascii="仿宋_GB2312" w:hAnsi="仿宋" w:cs="宋体"/>
          <w:color w:val="000000"/>
          <w:kern w:val="0"/>
          <w:sz w:val="32"/>
          <w:szCs w:val="32"/>
          <w:lang w:val="en-US" w:eastAsia="zh-CN"/>
        </w:rPr>
        <w:t>其毒性表现为</w:t>
      </w:r>
      <w:r>
        <w:rPr>
          <w:rFonts w:hint="eastAsia" w:ascii="仿宋_GB2312" w:hAnsi="宋体" w:eastAsia="仿宋_GB2312" w:cs="宋体"/>
          <w:kern w:val="0"/>
          <w:sz w:val="32"/>
          <w:szCs w:val="32"/>
          <w:lang w:val="en-US" w:eastAsia="zh-CN" w:bidi="ar-SA"/>
        </w:rPr>
        <w:t>流泪、视力模糊、呕吐、腹泻、腹痛、流涎、震颤、惊厥、精神错乱、昏迷及恶心等，严重者呼吸衰竭导致死亡。</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（十二）亚硝酸盐</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Arial"/>
          <w:kern w:val="2"/>
          <w:sz w:val="32"/>
          <w:szCs w:val="32"/>
          <w:shd w:val="clear" w:color="auto" w:fill="FFFFFF"/>
          <w:lang w:val="en-US" w:eastAsia="zh-CN" w:bidi="ar-SA"/>
        </w:rPr>
      </w:pPr>
      <w:r>
        <w:rPr>
          <w:rFonts w:hint="default" w:ascii="仿宋_GB2312" w:hAnsi="仿宋" w:eastAsia="仿宋_GB2312" w:cs="Arial"/>
          <w:kern w:val="2"/>
          <w:sz w:val="32"/>
          <w:szCs w:val="32"/>
          <w:shd w:val="clear" w:color="auto" w:fill="FFFFFF"/>
          <w:lang w:val="en-US" w:eastAsia="zh-CN" w:bidi="ar-SA"/>
        </w:rPr>
        <w:t>亚硝酸盐在环境、食品和水中天然存在，属于食品污染物</w:t>
      </w:r>
      <w:r>
        <w:rPr>
          <w:rFonts w:hint="eastAsia" w:ascii="仿宋_GB2312" w:hAnsi="仿宋" w:eastAsia="仿宋_GB2312" w:cs="Arial"/>
          <w:kern w:val="2"/>
          <w:sz w:val="32"/>
          <w:szCs w:val="32"/>
          <w:shd w:val="clear" w:color="auto" w:fill="FFFFFF"/>
          <w:lang w:val="en-US" w:eastAsia="zh-CN" w:bidi="ar-SA"/>
        </w:rPr>
        <w:t>；同时，</w:t>
      </w:r>
      <w:r>
        <w:rPr>
          <w:rFonts w:hint="default" w:ascii="仿宋_GB2312" w:hAnsi="仿宋" w:eastAsia="仿宋_GB2312" w:cs="Arial"/>
          <w:kern w:val="2"/>
          <w:sz w:val="32"/>
          <w:szCs w:val="32"/>
          <w:shd w:val="clear" w:color="auto" w:fill="FFFFFF"/>
          <w:lang w:val="en-US" w:eastAsia="zh-CN" w:bidi="ar-SA"/>
        </w:rPr>
        <w:t>亚硝酸盐也是国内外普遍允许使用的食品添加剂，用</w:t>
      </w:r>
      <w:r>
        <w:rPr>
          <w:rFonts w:hint="eastAsia" w:ascii="仿宋_GB2312" w:hAnsi="仿宋" w:eastAsia="仿宋_GB2312" w:cs="Arial"/>
          <w:kern w:val="2"/>
          <w:sz w:val="32"/>
          <w:szCs w:val="32"/>
          <w:shd w:val="clear" w:color="auto" w:fill="FFFFFF"/>
          <w:lang w:val="en-US" w:eastAsia="zh-CN" w:bidi="ar-SA"/>
        </w:rPr>
        <w:t>于</w:t>
      </w:r>
      <w:r>
        <w:rPr>
          <w:rFonts w:hint="default" w:ascii="仿宋_GB2312" w:hAnsi="仿宋" w:eastAsia="仿宋_GB2312" w:cs="Arial"/>
          <w:kern w:val="2"/>
          <w:sz w:val="32"/>
          <w:szCs w:val="32"/>
          <w:shd w:val="clear" w:color="auto" w:fill="FFFFFF"/>
          <w:lang w:val="en-US" w:eastAsia="zh-CN" w:bidi="ar-SA"/>
        </w:rPr>
        <w:t>西式火腿、肉罐头等</w:t>
      </w:r>
      <w:r>
        <w:rPr>
          <w:rFonts w:hint="eastAsia" w:ascii="仿宋_GB2312" w:hAnsi="仿宋" w:eastAsia="仿宋_GB2312" w:cs="Arial"/>
          <w:kern w:val="2"/>
          <w:sz w:val="32"/>
          <w:szCs w:val="32"/>
          <w:shd w:val="clear" w:color="auto" w:fill="FFFFFF"/>
          <w:lang w:val="en-US" w:eastAsia="zh-CN" w:bidi="ar-SA"/>
        </w:rPr>
        <w:t>肉制品</w:t>
      </w:r>
      <w:r>
        <w:rPr>
          <w:rFonts w:hint="default" w:ascii="仿宋_GB2312" w:hAnsi="仿宋" w:eastAsia="仿宋_GB2312" w:cs="Arial"/>
          <w:kern w:val="2"/>
          <w:sz w:val="32"/>
          <w:szCs w:val="32"/>
          <w:shd w:val="clear" w:color="auto" w:fill="FFFFFF"/>
          <w:lang w:val="en-US" w:eastAsia="zh-CN" w:bidi="ar-SA"/>
        </w:rPr>
        <w:t>的护色剂、防腐剂</w:t>
      </w:r>
      <w:r>
        <w:rPr>
          <w:rFonts w:hint="eastAsia" w:ascii="仿宋_GB2312" w:hAnsi="仿宋" w:eastAsia="仿宋_GB2312" w:cs="Arial"/>
          <w:kern w:val="2"/>
          <w:sz w:val="32"/>
          <w:szCs w:val="32"/>
          <w:shd w:val="clear" w:color="auto" w:fill="FFFFFF"/>
          <w:lang w:val="en-US" w:eastAsia="zh-CN" w:bidi="ar-SA"/>
        </w:rPr>
        <w:t>。《食品安全国家标准 食品添加剂使用标准》（GB 2760-2014）中规定，肉制品中亚硝酸盐(以亚硝酸钠计)应≤30(mg/kg)。亚硝酸盐能使血液中正常携氧的低铁</w:t>
      </w:r>
      <w:r>
        <w:rPr>
          <w:rFonts w:hint="eastAsia" w:ascii="仿宋_GB2312" w:hAnsi="仿宋" w:eastAsia="仿宋_GB2312" w:cs="Arial"/>
          <w:kern w:val="2"/>
          <w:sz w:val="32"/>
          <w:szCs w:val="32"/>
          <w:shd w:val="clear" w:color="auto" w:fill="FFFFFF"/>
          <w:lang w:val="en-US" w:eastAsia="zh-CN" w:bidi="ar-SA"/>
        </w:rPr>
        <w:fldChar w:fldCharType="begin"/>
      </w:r>
      <w:r>
        <w:rPr>
          <w:rFonts w:hint="eastAsia" w:ascii="仿宋_GB2312" w:hAnsi="仿宋" w:eastAsia="仿宋_GB2312" w:cs="Arial"/>
          <w:kern w:val="2"/>
          <w:sz w:val="32"/>
          <w:szCs w:val="32"/>
          <w:shd w:val="clear" w:color="auto" w:fill="FFFFFF"/>
          <w:lang w:val="en-US" w:eastAsia="zh-CN" w:bidi="ar-SA"/>
        </w:rPr>
        <w:instrText xml:space="preserve"> HYPERLINK "http://baike.baidu.com/view/519.htm" \t "_blank" </w:instrText>
      </w:r>
      <w:r>
        <w:rPr>
          <w:rFonts w:hint="eastAsia" w:ascii="仿宋_GB2312" w:hAnsi="仿宋" w:eastAsia="仿宋_GB2312" w:cs="Arial"/>
          <w:kern w:val="2"/>
          <w:sz w:val="32"/>
          <w:szCs w:val="32"/>
          <w:shd w:val="clear" w:color="auto" w:fill="FFFFFF"/>
          <w:lang w:val="en-US" w:eastAsia="zh-CN" w:bidi="ar-SA"/>
        </w:rPr>
        <w:fldChar w:fldCharType="separate"/>
      </w:r>
      <w:r>
        <w:rPr>
          <w:rFonts w:hint="eastAsia" w:ascii="仿宋_GB2312" w:hAnsi="仿宋" w:eastAsia="仿宋_GB2312" w:cs="Arial"/>
          <w:kern w:val="2"/>
          <w:sz w:val="32"/>
          <w:szCs w:val="32"/>
          <w:shd w:val="clear" w:color="auto" w:fill="FFFFFF"/>
          <w:lang w:val="en-US" w:eastAsia="zh-CN" w:bidi="ar-SA"/>
        </w:rPr>
        <w:t>血红蛋白</w:t>
      </w:r>
      <w:r>
        <w:rPr>
          <w:rFonts w:hint="eastAsia" w:ascii="仿宋_GB2312" w:hAnsi="仿宋" w:eastAsia="仿宋_GB2312" w:cs="Arial"/>
          <w:kern w:val="2"/>
          <w:sz w:val="32"/>
          <w:szCs w:val="32"/>
          <w:shd w:val="clear" w:color="auto" w:fill="FFFFFF"/>
          <w:lang w:val="en-US" w:eastAsia="zh-CN" w:bidi="ar-SA"/>
        </w:rPr>
        <w:fldChar w:fldCharType="end"/>
      </w:r>
      <w:r>
        <w:rPr>
          <w:rFonts w:hint="eastAsia" w:ascii="仿宋_GB2312" w:hAnsi="仿宋" w:eastAsia="仿宋_GB2312" w:cs="Arial"/>
          <w:kern w:val="2"/>
          <w:sz w:val="32"/>
          <w:szCs w:val="32"/>
          <w:shd w:val="clear" w:color="auto" w:fill="FFFFFF"/>
          <w:lang w:val="en-US" w:eastAsia="zh-CN" w:bidi="ar-SA"/>
        </w:rPr>
        <w:t>氧化成</w:t>
      </w:r>
      <w:r>
        <w:rPr>
          <w:rFonts w:hint="eastAsia" w:ascii="仿宋_GB2312" w:hAnsi="仿宋" w:eastAsia="仿宋_GB2312" w:cs="Arial"/>
          <w:kern w:val="2"/>
          <w:sz w:val="32"/>
          <w:szCs w:val="32"/>
          <w:shd w:val="clear" w:color="auto" w:fill="FFFFFF"/>
          <w:lang w:val="en-US" w:eastAsia="zh-CN" w:bidi="ar-SA"/>
        </w:rPr>
        <w:fldChar w:fldCharType="begin"/>
      </w:r>
      <w:r>
        <w:rPr>
          <w:rFonts w:hint="eastAsia" w:ascii="仿宋_GB2312" w:hAnsi="仿宋" w:eastAsia="仿宋_GB2312" w:cs="Arial"/>
          <w:kern w:val="2"/>
          <w:sz w:val="32"/>
          <w:szCs w:val="32"/>
          <w:shd w:val="clear" w:color="auto" w:fill="FFFFFF"/>
          <w:lang w:val="en-US" w:eastAsia="zh-CN" w:bidi="ar-SA"/>
        </w:rPr>
        <w:instrText xml:space="preserve"> HYPERLINK "http://baike.baidu.com/view/71208.htm" \t "_blank" </w:instrText>
      </w:r>
      <w:r>
        <w:rPr>
          <w:rFonts w:hint="eastAsia" w:ascii="仿宋_GB2312" w:hAnsi="仿宋" w:eastAsia="仿宋_GB2312" w:cs="Arial"/>
          <w:kern w:val="2"/>
          <w:sz w:val="32"/>
          <w:szCs w:val="32"/>
          <w:shd w:val="clear" w:color="auto" w:fill="FFFFFF"/>
          <w:lang w:val="en-US" w:eastAsia="zh-CN" w:bidi="ar-SA"/>
        </w:rPr>
        <w:fldChar w:fldCharType="separate"/>
      </w:r>
      <w:r>
        <w:rPr>
          <w:rFonts w:hint="eastAsia" w:ascii="仿宋_GB2312" w:hAnsi="仿宋" w:eastAsia="仿宋_GB2312" w:cs="Arial"/>
          <w:kern w:val="2"/>
          <w:sz w:val="32"/>
          <w:szCs w:val="32"/>
          <w:shd w:val="clear" w:color="auto" w:fill="FFFFFF"/>
          <w:lang w:val="en-US" w:eastAsia="zh-CN" w:bidi="ar-SA"/>
        </w:rPr>
        <w:t>高铁血红蛋白</w:t>
      </w:r>
      <w:r>
        <w:rPr>
          <w:rFonts w:hint="eastAsia" w:ascii="仿宋_GB2312" w:hAnsi="仿宋" w:eastAsia="仿宋_GB2312" w:cs="Arial"/>
          <w:kern w:val="2"/>
          <w:sz w:val="32"/>
          <w:szCs w:val="32"/>
          <w:shd w:val="clear" w:color="auto" w:fill="FFFFFF"/>
          <w:lang w:val="en-US" w:eastAsia="zh-CN" w:bidi="ar-SA"/>
        </w:rPr>
        <w:fldChar w:fldCharType="end"/>
      </w:r>
      <w:r>
        <w:rPr>
          <w:rFonts w:hint="eastAsia" w:ascii="仿宋_GB2312" w:hAnsi="仿宋" w:eastAsia="仿宋_GB2312" w:cs="Arial"/>
          <w:kern w:val="2"/>
          <w:sz w:val="32"/>
          <w:szCs w:val="32"/>
          <w:shd w:val="clear" w:color="auto" w:fill="FFFFFF"/>
          <w:lang w:val="en-US" w:eastAsia="zh-CN" w:bidi="ar-SA"/>
        </w:rPr>
        <w:t>，因而失去携氧能力而引起组织缺氧。亚硝酸盐在一定的条件下可以转化为N-亚硝胺类化合物，动物实验和流行病学研究均显示这类化合物具有较强的致癌性。</w:t>
      </w:r>
    </w:p>
    <w:p>
      <w:pPr>
        <w:widowControl/>
        <w:spacing w:line="560" w:lineRule="exact"/>
        <w:ind w:firstLine="643" w:firstLineChars="200"/>
        <w:jc w:val="left"/>
        <w:rPr>
          <w:rFonts w:hint="default"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（十三）乙二胺四乙酸二钠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Arial"/>
          <w:kern w:val="2"/>
          <w:sz w:val="32"/>
          <w:szCs w:val="32"/>
          <w:shd w:val="clear" w:color="auto" w:fill="FFFFFF"/>
          <w:lang w:val="zh-CN" w:eastAsia="zh-CN" w:bidi="ar-SA"/>
        </w:rPr>
      </w:pPr>
      <w:r>
        <w:rPr>
          <w:rFonts w:hint="eastAsia" w:ascii="仿宋_GB2312" w:hAnsi="仿宋" w:eastAsia="仿宋_GB2312" w:cs="宋体"/>
          <w:color w:val="auto"/>
          <w:kern w:val="0"/>
          <w:sz w:val="32"/>
          <w:szCs w:val="32"/>
          <w:lang w:val="zh-CN" w:eastAsia="zh-CN" w:bidi="ar-SA"/>
        </w:rPr>
        <w:t>乙二胺四乙酸二钠又叫做</w:t>
      </w:r>
      <w:r>
        <w:rPr>
          <w:rFonts w:hint="default" w:ascii="仿宋_GB2312" w:hAnsi="仿宋" w:eastAsia="仿宋_GB2312" w:cs="宋体"/>
          <w:color w:val="auto"/>
          <w:kern w:val="0"/>
          <w:sz w:val="32"/>
          <w:szCs w:val="32"/>
          <w:lang w:val="zh-CN" w:eastAsia="zh-CN" w:bidi="ar-SA"/>
        </w:rPr>
        <w:t>EDTA-2Na</w:t>
      </w:r>
      <w:r>
        <w:rPr>
          <w:rFonts w:hint="eastAsia" w:ascii="仿宋_GB2312" w:hAnsi="仿宋" w:eastAsia="仿宋_GB2312" w:cs="宋体"/>
          <w:color w:val="auto"/>
          <w:kern w:val="0"/>
          <w:sz w:val="32"/>
          <w:szCs w:val="32"/>
          <w:lang w:val="zh-CN" w:eastAsia="zh-CN" w:bidi="ar-SA"/>
        </w:rPr>
        <w:t>，作为食品添加剂广泛用作稳定剂、抗氧化剂、防腐剂、螯合剂、防止金属离子引起的变色、变质、变浊及维生素的氧化损失。《食品安全国家标准 食品添加剂使用标准》（GB 2760-2014）中规定，果脯类（仅限地瓜果脯）乙二胺四乙酸二钠应≤</w:t>
      </w:r>
      <w:r>
        <w:rPr>
          <w:rFonts w:hint="eastAsia" w:ascii="仿宋_GB2312" w:hAnsi="仿宋" w:eastAsia="仿宋_GB2312" w:cs="宋体"/>
          <w:color w:val="auto"/>
          <w:kern w:val="0"/>
          <w:sz w:val="32"/>
          <w:szCs w:val="32"/>
          <w:lang w:val="en-US" w:eastAsia="zh-CN" w:bidi="ar-SA"/>
        </w:rPr>
        <w:t>0.25g/kg。</w:t>
      </w:r>
      <w:r>
        <w:rPr>
          <w:rFonts w:hint="eastAsia" w:ascii="仿宋_GB2312" w:hAnsi="仿宋" w:eastAsia="仿宋_GB2312" w:cs="宋体"/>
          <w:color w:val="auto"/>
          <w:kern w:val="0"/>
          <w:sz w:val="32"/>
          <w:szCs w:val="32"/>
          <w:lang w:val="zh-CN" w:eastAsia="zh-CN" w:bidi="ar-SA"/>
        </w:rPr>
        <w:t>乙二胺四乙酸二钠在人体内不分解而排出，会造成人体缺钙，也可引起暂时性血压下降、肾脏障碍。部分生产企业出于防止氧化变色及防腐的目的，对蜜饯食品超剂量使用乙二胺四乙酸二钠，或由于计量器具不准确、添加方法不正确等原因导致终产品中乙二胺四乙酸二钠超标。</w:t>
      </w:r>
      <w:bookmarkStart w:id="0" w:name="_GoBack"/>
      <w:bookmarkEnd w:id="0"/>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4454114-28A2-475C-8778-A3767E95F23E}"/>
  </w:font>
  <w:font w:name="黑体">
    <w:panose1 w:val="02010609060101010101"/>
    <w:charset w:val="86"/>
    <w:family w:val="auto"/>
    <w:pitch w:val="default"/>
    <w:sig w:usb0="800002BF" w:usb1="38CF7CFA" w:usb2="00000016" w:usb3="00000000" w:csb0="00040001" w:csb1="00000000"/>
    <w:embedRegular r:id="rId2" w:fontKey="{F973A764-0FC4-4D24-A40A-67BB2B1BFB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398498C7-F2CF-4B90-BCC1-6042F0734A5D}"/>
  </w:font>
  <w:font w:name="楷体_GB2312">
    <w:panose1 w:val="02010609030101010101"/>
    <w:charset w:val="86"/>
    <w:family w:val="auto"/>
    <w:pitch w:val="default"/>
    <w:sig w:usb0="00000001" w:usb1="080E0000" w:usb2="00000000" w:usb3="00000000" w:csb0="00040000" w:csb1="00000000"/>
    <w:embedRegular r:id="rId4" w:fontKey="{C6F14A94-E8FD-4CCC-B3C4-225EC6364401}"/>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5" w:fontKey="{BC0FF1A9-644C-401A-B880-C56BD317D360}"/>
  </w:font>
  <w:font w:name="华文中宋">
    <w:panose1 w:val="02010600040101010101"/>
    <w:charset w:val="86"/>
    <w:family w:val="auto"/>
    <w:pitch w:val="default"/>
    <w:sig w:usb0="00000287" w:usb1="080F0000" w:usb2="00000000" w:usb3="00000000" w:csb0="0004009F" w:csb1="DFD70000"/>
    <w:embedRegular r:id="rId6" w:fontKey="{7616D115-F574-4AE4-954F-8E1272207131}"/>
  </w:font>
  <w:font w:name="楷体">
    <w:panose1 w:val="02010609060101010101"/>
    <w:charset w:val="86"/>
    <w:family w:val="modern"/>
    <w:pitch w:val="default"/>
    <w:sig w:usb0="800002BF" w:usb1="38CF7CFA" w:usb2="00000016" w:usb3="00000000" w:csb0="00040001" w:csb1="00000000"/>
    <w:embedRegular r:id="rId7" w:fontKey="{2308F6B9-AD87-442D-84BF-7BA34CCB14E1}"/>
  </w:font>
  <w:font w:name="仿宋">
    <w:panose1 w:val="02010609060101010101"/>
    <w:charset w:val="86"/>
    <w:family w:val="modern"/>
    <w:pitch w:val="default"/>
    <w:sig w:usb0="800002BF" w:usb1="38CF7CFA" w:usb2="00000016" w:usb3="00000000" w:csb0="00040001" w:csb1="00000000"/>
    <w:embedRegular r:id="rId8" w:fontKey="{077FFF8A-5B77-4C6F-B49E-9D3C0FFBB777}"/>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embedRegular r:id="rId9" w:fontKey="{132A7CD3-E56A-4BC8-B053-48BB4FAB0B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5363F0"/>
    <w:rsid w:val="006B1DCC"/>
    <w:rsid w:val="00724BD2"/>
    <w:rsid w:val="008D6C99"/>
    <w:rsid w:val="00B977A2"/>
    <w:rsid w:val="00BE4BAD"/>
    <w:rsid w:val="010D450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A101FAB"/>
    <w:rsid w:val="0A545255"/>
    <w:rsid w:val="0AEA5DCE"/>
    <w:rsid w:val="0B66492E"/>
    <w:rsid w:val="0B6F4B3F"/>
    <w:rsid w:val="0C083FBC"/>
    <w:rsid w:val="0C0C4E1D"/>
    <w:rsid w:val="0C455D22"/>
    <w:rsid w:val="0C6F4539"/>
    <w:rsid w:val="0CD4225F"/>
    <w:rsid w:val="0D1C5633"/>
    <w:rsid w:val="0D6C4E32"/>
    <w:rsid w:val="0E431583"/>
    <w:rsid w:val="0EA926E5"/>
    <w:rsid w:val="0EA93008"/>
    <w:rsid w:val="0EC839C2"/>
    <w:rsid w:val="0F261454"/>
    <w:rsid w:val="0F567840"/>
    <w:rsid w:val="0FE51EE1"/>
    <w:rsid w:val="10AD16A7"/>
    <w:rsid w:val="10BA4D47"/>
    <w:rsid w:val="1162065F"/>
    <w:rsid w:val="11B32DA0"/>
    <w:rsid w:val="11BA183E"/>
    <w:rsid w:val="11CE6913"/>
    <w:rsid w:val="11E172CB"/>
    <w:rsid w:val="1210526E"/>
    <w:rsid w:val="12AF7645"/>
    <w:rsid w:val="12B51B83"/>
    <w:rsid w:val="137821D3"/>
    <w:rsid w:val="139A1CB2"/>
    <w:rsid w:val="13E774D5"/>
    <w:rsid w:val="141B2394"/>
    <w:rsid w:val="14292A97"/>
    <w:rsid w:val="1499532A"/>
    <w:rsid w:val="1512088F"/>
    <w:rsid w:val="155219D3"/>
    <w:rsid w:val="15FE7C46"/>
    <w:rsid w:val="16396F4B"/>
    <w:rsid w:val="164E1FAB"/>
    <w:rsid w:val="165773C2"/>
    <w:rsid w:val="16A102CE"/>
    <w:rsid w:val="16A52765"/>
    <w:rsid w:val="176818BF"/>
    <w:rsid w:val="17C62E78"/>
    <w:rsid w:val="17CA0823"/>
    <w:rsid w:val="17FA5E44"/>
    <w:rsid w:val="181E6360"/>
    <w:rsid w:val="182C56B9"/>
    <w:rsid w:val="18F91C2D"/>
    <w:rsid w:val="199008F8"/>
    <w:rsid w:val="19EB104A"/>
    <w:rsid w:val="1A19393D"/>
    <w:rsid w:val="1A81096D"/>
    <w:rsid w:val="1A84029D"/>
    <w:rsid w:val="1AC759AF"/>
    <w:rsid w:val="1B042E72"/>
    <w:rsid w:val="1B7E0D88"/>
    <w:rsid w:val="1C2B3ECE"/>
    <w:rsid w:val="1C354059"/>
    <w:rsid w:val="1D3D5D17"/>
    <w:rsid w:val="1DB57EDF"/>
    <w:rsid w:val="1E3C794C"/>
    <w:rsid w:val="1EFD4E3F"/>
    <w:rsid w:val="1F120F82"/>
    <w:rsid w:val="1F456A61"/>
    <w:rsid w:val="1FEA3D63"/>
    <w:rsid w:val="200B2815"/>
    <w:rsid w:val="208760C8"/>
    <w:rsid w:val="208E2538"/>
    <w:rsid w:val="2103478D"/>
    <w:rsid w:val="219C06C7"/>
    <w:rsid w:val="22F15479"/>
    <w:rsid w:val="231A399D"/>
    <w:rsid w:val="24415E66"/>
    <w:rsid w:val="248553AF"/>
    <w:rsid w:val="249A66FD"/>
    <w:rsid w:val="24F01236"/>
    <w:rsid w:val="255973C6"/>
    <w:rsid w:val="255D305C"/>
    <w:rsid w:val="257D0D7B"/>
    <w:rsid w:val="25D84592"/>
    <w:rsid w:val="262E6380"/>
    <w:rsid w:val="26635934"/>
    <w:rsid w:val="26D25598"/>
    <w:rsid w:val="27084E46"/>
    <w:rsid w:val="270C1F17"/>
    <w:rsid w:val="274815F0"/>
    <w:rsid w:val="27537B32"/>
    <w:rsid w:val="27D171E0"/>
    <w:rsid w:val="282A264F"/>
    <w:rsid w:val="28664823"/>
    <w:rsid w:val="28EE2E75"/>
    <w:rsid w:val="2928376B"/>
    <w:rsid w:val="29292876"/>
    <w:rsid w:val="295771E6"/>
    <w:rsid w:val="29DF09A6"/>
    <w:rsid w:val="2A2E5413"/>
    <w:rsid w:val="2A706ED1"/>
    <w:rsid w:val="2A95365C"/>
    <w:rsid w:val="2ACC6C6B"/>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31750"/>
    <w:rsid w:val="3189778C"/>
    <w:rsid w:val="31AA7543"/>
    <w:rsid w:val="31EA5456"/>
    <w:rsid w:val="31EF1FC4"/>
    <w:rsid w:val="323F00BC"/>
    <w:rsid w:val="324700B2"/>
    <w:rsid w:val="330F0153"/>
    <w:rsid w:val="33132CF8"/>
    <w:rsid w:val="3334531C"/>
    <w:rsid w:val="336A3327"/>
    <w:rsid w:val="33713745"/>
    <w:rsid w:val="34264611"/>
    <w:rsid w:val="348E513C"/>
    <w:rsid w:val="34A77C54"/>
    <w:rsid w:val="34B74329"/>
    <w:rsid w:val="34FF4C0B"/>
    <w:rsid w:val="354F3FC5"/>
    <w:rsid w:val="35BC7A15"/>
    <w:rsid w:val="36A26439"/>
    <w:rsid w:val="36A86284"/>
    <w:rsid w:val="372845B2"/>
    <w:rsid w:val="37790A88"/>
    <w:rsid w:val="3787038C"/>
    <w:rsid w:val="37CC35F3"/>
    <w:rsid w:val="37DD6246"/>
    <w:rsid w:val="382D7593"/>
    <w:rsid w:val="38622AFA"/>
    <w:rsid w:val="387272BF"/>
    <w:rsid w:val="38865B2F"/>
    <w:rsid w:val="391B060E"/>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6CC6013"/>
    <w:rsid w:val="4848609B"/>
    <w:rsid w:val="4852746A"/>
    <w:rsid w:val="4864409A"/>
    <w:rsid w:val="48961A2D"/>
    <w:rsid w:val="48E60C18"/>
    <w:rsid w:val="49346CC6"/>
    <w:rsid w:val="49664C37"/>
    <w:rsid w:val="499A7ACA"/>
    <w:rsid w:val="4B37566A"/>
    <w:rsid w:val="4BCB614C"/>
    <w:rsid w:val="4C7A639D"/>
    <w:rsid w:val="4CE91A69"/>
    <w:rsid w:val="4CF5205D"/>
    <w:rsid w:val="4DAC348D"/>
    <w:rsid w:val="4E0D626A"/>
    <w:rsid w:val="4E403AAD"/>
    <w:rsid w:val="4EAD6BF5"/>
    <w:rsid w:val="4EBC0748"/>
    <w:rsid w:val="4ECB0493"/>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6FE090D"/>
    <w:rsid w:val="5737759B"/>
    <w:rsid w:val="577D74E9"/>
    <w:rsid w:val="57FE2087"/>
    <w:rsid w:val="586B71C9"/>
    <w:rsid w:val="590154BD"/>
    <w:rsid w:val="59527B6B"/>
    <w:rsid w:val="59AF7439"/>
    <w:rsid w:val="59CC251A"/>
    <w:rsid w:val="59E33FF0"/>
    <w:rsid w:val="59EA54F5"/>
    <w:rsid w:val="5A5B4E1E"/>
    <w:rsid w:val="5AED1980"/>
    <w:rsid w:val="5B13142F"/>
    <w:rsid w:val="5B4B2BCB"/>
    <w:rsid w:val="5B98016E"/>
    <w:rsid w:val="5C000884"/>
    <w:rsid w:val="5C224F8E"/>
    <w:rsid w:val="5C240B88"/>
    <w:rsid w:val="5C317F92"/>
    <w:rsid w:val="5E0606ED"/>
    <w:rsid w:val="5E0D1B19"/>
    <w:rsid w:val="5E214E94"/>
    <w:rsid w:val="5E275C6B"/>
    <w:rsid w:val="5E553A15"/>
    <w:rsid w:val="5E5703AB"/>
    <w:rsid w:val="5E7004E1"/>
    <w:rsid w:val="5E7F3F9B"/>
    <w:rsid w:val="5E9E3209"/>
    <w:rsid w:val="5ECD4C7F"/>
    <w:rsid w:val="5EEC66E6"/>
    <w:rsid w:val="5F093C78"/>
    <w:rsid w:val="5F5A1107"/>
    <w:rsid w:val="5F7E1BB9"/>
    <w:rsid w:val="5F831A12"/>
    <w:rsid w:val="5FB95F86"/>
    <w:rsid w:val="6048573D"/>
    <w:rsid w:val="60FF5FDD"/>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E66C0F"/>
    <w:rsid w:val="690A7BA1"/>
    <w:rsid w:val="69113DCA"/>
    <w:rsid w:val="69130912"/>
    <w:rsid w:val="69CB77D8"/>
    <w:rsid w:val="6A323B2C"/>
    <w:rsid w:val="6A524C0E"/>
    <w:rsid w:val="6AC33480"/>
    <w:rsid w:val="6B1806CB"/>
    <w:rsid w:val="6C2646D1"/>
    <w:rsid w:val="6C5A3FCD"/>
    <w:rsid w:val="6C721C9A"/>
    <w:rsid w:val="6C942E03"/>
    <w:rsid w:val="6CB62996"/>
    <w:rsid w:val="6D731B27"/>
    <w:rsid w:val="6D76258B"/>
    <w:rsid w:val="6E7050A9"/>
    <w:rsid w:val="6E7A59CD"/>
    <w:rsid w:val="6E9610D2"/>
    <w:rsid w:val="6ECD36FF"/>
    <w:rsid w:val="6F1957D5"/>
    <w:rsid w:val="70254438"/>
    <w:rsid w:val="70810F1E"/>
    <w:rsid w:val="71754C6E"/>
    <w:rsid w:val="71DB6825"/>
    <w:rsid w:val="7275613E"/>
    <w:rsid w:val="72A04A1F"/>
    <w:rsid w:val="72F24D9D"/>
    <w:rsid w:val="733275F5"/>
    <w:rsid w:val="738026E3"/>
    <w:rsid w:val="73A979E7"/>
    <w:rsid w:val="74104D2B"/>
    <w:rsid w:val="7432739D"/>
    <w:rsid w:val="744F4674"/>
    <w:rsid w:val="747927C4"/>
    <w:rsid w:val="754B170B"/>
    <w:rsid w:val="756F7B86"/>
    <w:rsid w:val="75A82AC5"/>
    <w:rsid w:val="75CA36CA"/>
    <w:rsid w:val="763955BF"/>
    <w:rsid w:val="773A01B0"/>
    <w:rsid w:val="779A49A3"/>
    <w:rsid w:val="77BF6833"/>
    <w:rsid w:val="77FC16E5"/>
    <w:rsid w:val="78810DF7"/>
    <w:rsid w:val="78BC4EF9"/>
    <w:rsid w:val="78C17088"/>
    <w:rsid w:val="78C82F23"/>
    <w:rsid w:val="78FE0A2F"/>
    <w:rsid w:val="792F0912"/>
    <w:rsid w:val="7A7C11A9"/>
    <w:rsid w:val="7A895DC7"/>
    <w:rsid w:val="7AC47EB7"/>
    <w:rsid w:val="7B4B68E6"/>
    <w:rsid w:val="7B5E04A9"/>
    <w:rsid w:val="7BE41421"/>
    <w:rsid w:val="7C073518"/>
    <w:rsid w:val="7C4079FA"/>
    <w:rsid w:val="7C8F2CF0"/>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7</Pages>
  <Words>3479</Words>
  <Characters>3723</Characters>
  <Lines>28</Lines>
  <Paragraphs>8</Paragraphs>
  <TotalTime>42</TotalTime>
  <ScaleCrop>false</ScaleCrop>
  <LinksUpToDate>false</LinksUpToDate>
  <CharactersWithSpaces>3752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2022-04-24T08:47:04Z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