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60" w:lineRule="exact"/>
        <w:ind w:left="0" w:leftChars="0" w:firstLine="0" w:firstLineChars="0"/>
        <w:textAlignment w:val="auto"/>
        <w:rPr>
          <w:rFonts w:hint="eastAsia" w:ascii="黑体" w:hAnsi="黑体" w:eastAsia="黑体" w:cs="Arial"/>
          <w:color w:val="auto"/>
          <w:kern w:val="0"/>
          <w:szCs w:val="32"/>
          <w:lang w:eastAsia="zh-CN"/>
        </w:rPr>
      </w:pPr>
      <w:r>
        <w:rPr>
          <w:rFonts w:hint="eastAsia" w:ascii="黑体" w:hAnsi="黑体" w:eastAsia="黑体" w:cs="Arial"/>
          <w:color w:val="auto"/>
          <w:kern w:val="0"/>
          <w:szCs w:val="32"/>
        </w:rPr>
        <w:t>附件</w:t>
      </w:r>
      <w:r>
        <w:rPr>
          <w:rFonts w:hint="eastAsia" w:ascii="黑体" w:hAnsi="黑体" w:eastAsia="黑体" w:cs="Arial"/>
          <w:color w:val="auto"/>
          <w:kern w:val="0"/>
          <w:szCs w:val="32"/>
          <w:lang w:val="en-US" w:eastAsia="zh-CN"/>
        </w:rPr>
        <w:t>2</w:t>
      </w:r>
    </w:p>
    <w:p>
      <w:pPr>
        <w:keepNext w:val="0"/>
        <w:keepLines w:val="0"/>
        <w:pageBreakBefore w:val="0"/>
        <w:kinsoku/>
        <w:wordWrap/>
        <w:overflowPunct/>
        <w:topLinePunct w:val="0"/>
        <w:autoSpaceDE/>
        <w:autoSpaceDN/>
        <w:bidi w:val="0"/>
        <w:adjustRightInd/>
        <w:snapToGrid/>
        <w:spacing w:line="560" w:lineRule="exact"/>
        <w:ind w:firstLine="832"/>
        <w:jc w:val="center"/>
        <w:textAlignment w:val="auto"/>
        <w:rPr>
          <w:rFonts w:ascii="方正小标宋简体" w:hAnsi="方正小标宋简体" w:eastAsia="方正小标宋简体" w:cs="方正小标宋简体"/>
          <w:color w:val="auto"/>
          <w:spacing w:val="-12"/>
          <w:sz w:val="44"/>
          <w:szCs w:val="44"/>
        </w:rPr>
      </w:pPr>
      <w:r>
        <w:rPr>
          <w:rFonts w:hint="eastAsia" w:ascii="华文中宋" w:hAnsi="华文中宋" w:eastAsia="华文中宋" w:cs="华文中宋"/>
          <w:color w:val="auto"/>
          <w:spacing w:val="-12"/>
          <w:sz w:val="44"/>
          <w:szCs w:val="44"/>
        </w:rPr>
        <w:t>部分不合格项目小知识</w:t>
      </w:r>
    </w:p>
    <w:p>
      <w:pPr>
        <w:pStyle w:val="11"/>
        <w:keepNext w:val="0"/>
        <w:keepLines w:val="0"/>
        <w:pageBreakBefore w:val="0"/>
        <w:kinsoku/>
        <w:wordWrap/>
        <w:overflowPunct/>
        <w:topLinePunct w:val="0"/>
        <w:autoSpaceDE/>
        <w:autoSpaceDN/>
        <w:bidi w:val="0"/>
        <w:adjustRightInd/>
        <w:snapToGrid/>
        <w:spacing w:after="0" w:line="560" w:lineRule="exact"/>
        <w:ind w:left="640" w:firstLine="480"/>
        <w:textAlignment w:val="auto"/>
        <w:rPr>
          <w:color w:val="auto"/>
        </w:rPr>
      </w:pPr>
    </w:p>
    <w:p>
      <w:pPr>
        <w:keepNext w:val="0"/>
        <w:keepLines w:val="0"/>
        <w:pageBreakBefore w:val="0"/>
        <w:kinsoku/>
        <w:wordWrap/>
        <w:overflowPunct/>
        <w:topLinePunct w:val="0"/>
        <w:autoSpaceDE/>
        <w:autoSpaceDN/>
        <w:bidi w:val="0"/>
        <w:adjustRightInd/>
        <w:snapToGrid/>
        <w:spacing w:line="560" w:lineRule="exact"/>
        <w:ind w:firstLine="643"/>
        <w:textAlignment w:val="auto"/>
        <w:rPr>
          <w:rFonts w:ascii="黑体" w:hAnsi="黑体" w:eastAsia="黑体" w:cs="黑体"/>
          <w:b w:val="0"/>
          <w:bCs w:val="0"/>
          <w:color w:val="auto"/>
          <w:szCs w:val="32"/>
        </w:rPr>
      </w:pPr>
      <w:r>
        <w:rPr>
          <w:rFonts w:hint="eastAsia" w:ascii="黑体" w:hAnsi="黑体" w:eastAsia="黑体" w:cs="黑体"/>
          <w:b w:val="0"/>
          <w:bCs w:val="0"/>
          <w:color w:val="auto"/>
          <w:szCs w:val="32"/>
        </w:rPr>
        <w:t>一、不合格项目小知识</w:t>
      </w:r>
    </w:p>
    <w:p>
      <w:pPr>
        <w:spacing w:line="560" w:lineRule="exact"/>
        <w:ind w:firstLine="643" w:firstLineChars="200"/>
        <w:rPr>
          <w:rFonts w:hint="eastAsia" w:ascii="楷体_GB2312" w:hAnsi="楷体" w:eastAsia="楷体_GB2312" w:cs="仿宋_GB2312"/>
          <w:b/>
          <w:color w:val="auto"/>
          <w:sz w:val="32"/>
          <w:szCs w:val="32"/>
          <w:lang w:eastAsia="zh-CN"/>
        </w:rPr>
      </w:pPr>
      <w:r>
        <w:rPr>
          <w:rFonts w:hint="eastAsia" w:ascii="楷体_GB2312" w:hAnsi="楷体" w:eastAsia="楷体_GB2312" w:cs="仿宋_GB2312"/>
          <w:b/>
          <w:color w:val="auto"/>
          <w:sz w:val="32"/>
          <w:szCs w:val="32"/>
          <w:lang w:eastAsia="zh-CN"/>
        </w:rPr>
        <w:t>（</w:t>
      </w:r>
      <w:r>
        <w:rPr>
          <w:rFonts w:hint="eastAsia" w:ascii="楷体_GB2312" w:hAnsi="楷体" w:eastAsia="楷体_GB2312" w:cs="仿宋_GB2312"/>
          <w:b/>
          <w:color w:val="auto"/>
          <w:sz w:val="32"/>
          <w:szCs w:val="32"/>
          <w:lang w:val="en-US" w:eastAsia="zh-CN"/>
        </w:rPr>
        <w:t>一</w:t>
      </w:r>
      <w:r>
        <w:rPr>
          <w:rFonts w:hint="eastAsia" w:ascii="楷体_GB2312" w:hAnsi="楷体" w:eastAsia="楷体_GB2312" w:cs="仿宋_GB2312"/>
          <w:b/>
          <w:color w:val="auto"/>
          <w:sz w:val="32"/>
          <w:szCs w:val="32"/>
          <w:lang w:eastAsia="zh-CN"/>
        </w:rPr>
        <w:t>）二氧化硫残留量</w:t>
      </w:r>
    </w:p>
    <w:p>
      <w:pPr>
        <w:spacing w:line="560" w:lineRule="exact"/>
        <w:ind w:firstLine="640" w:firstLineChars="200"/>
        <w:rPr>
          <w:color w:val="auto"/>
        </w:rPr>
      </w:pPr>
      <w:r>
        <w:rPr>
          <w:rFonts w:hint="eastAsia" w:ascii="仿宋_GB2312" w:hAnsi="仿宋" w:eastAsia="仿宋_GB2312" w:cs="宋体"/>
          <w:color w:val="auto"/>
          <w:kern w:val="0"/>
          <w:sz w:val="32"/>
          <w:szCs w:val="32"/>
        </w:rPr>
        <w:t>食品中的二氧化硫残留通常是指二氧化硫、硫磺以及焦亚硫酸钠、焦亚硫酸钾、亚硫酸钠、亚硫酸氢钠、低亚硫酸钠等无机亚硫酸盐残留的统称。</w:t>
      </w:r>
      <w:r>
        <w:rPr>
          <w:rFonts w:hint="eastAsia" w:ascii="仿宋_GB2312" w:hAnsi="仿宋" w:eastAsia="仿宋_GB2312"/>
          <w:color w:val="auto"/>
          <w:sz w:val="32"/>
          <w:szCs w:val="32"/>
        </w:rPr>
        <w:t>《食品安全国家标准 食品添加剂使用标准》（GB 2760-2014）中规定，干制蔬菜中二氧化硫残留量应≤0.2g/kg。</w:t>
      </w:r>
      <w:r>
        <w:rPr>
          <w:rFonts w:hint="eastAsia" w:ascii="仿宋_GB2312" w:hAnsi="仿宋" w:eastAsia="仿宋_GB2312" w:cs="宋体"/>
          <w:color w:val="auto"/>
          <w:kern w:val="0"/>
          <w:sz w:val="32"/>
          <w:szCs w:val="32"/>
        </w:rPr>
        <w:t>对二氧化硫有过敏反应的人（如哮喘病患者等）若食用二氧化硫超标的食物，可能会出现气喘、头痛或恶心等过敏症状。若长期大量摄入二氧化硫残留超标的食品，则可能对人体健康造成危害，其毒性表现为胃肠道反应，如恶心、呕吐等。此外，还会影响钙吸收，使机体钙丢失。</w:t>
      </w:r>
    </w:p>
    <w:p>
      <w:pPr>
        <w:spacing w:line="560" w:lineRule="exact"/>
        <w:ind w:firstLine="643" w:firstLineChars="200"/>
        <w:rPr>
          <w:rFonts w:hint="eastAsia" w:ascii="楷体_GB2312" w:hAnsi="楷体" w:eastAsia="楷体_GB2312" w:cs="仿宋_GB2312"/>
          <w:b/>
          <w:color w:val="auto"/>
          <w:sz w:val="32"/>
          <w:szCs w:val="32"/>
          <w:lang w:val="zh-CN" w:eastAsia="zh-CN"/>
        </w:rPr>
      </w:pPr>
      <w:r>
        <w:rPr>
          <w:rFonts w:hint="eastAsia" w:ascii="楷体_GB2312" w:hAnsi="楷体" w:eastAsia="楷体_GB2312" w:cs="仿宋_GB2312"/>
          <w:b/>
          <w:color w:val="auto"/>
          <w:sz w:val="32"/>
          <w:szCs w:val="32"/>
          <w:lang w:val="zh-CN" w:eastAsia="zh-CN"/>
        </w:rPr>
        <w:t>（</w:t>
      </w:r>
      <w:r>
        <w:rPr>
          <w:rFonts w:hint="eastAsia" w:ascii="楷体_GB2312" w:hAnsi="楷体" w:eastAsia="楷体_GB2312" w:cs="仿宋_GB2312"/>
          <w:b/>
          <w:color w:val="auto"/>
          <w:sz w:val="32"/>
          <w:szCs w:val="32"/>
          <w:lang w:val="en-US" w:eastAsia="zh-CN"/>
        </w:rPr>
        <w:t>二</w:t>
      </w:r>
      <w:r>
        <w:rPr>
          <w:rFonts w:hint="eastAsia" w:ascii="楷体_GB2312" w:hAnsi="楷体" w:eastAsia="楷体_GB2312" w:cs="仿宋_GB2312"/>
          <w:b/>
          <w:color w:val="auto"/>
          <w:sz w:val="32"/>
          <w:szCs w:val="32"/>
          <w:lang w:val="zh-CN" w:eastAsia="zh-CN"/>
        </w:rPr>
        <w:t>）铝的残留量</w:t>
      </w:r>
    </w:p>
    <w:p>
      <w:pPr>
        <w:spacing w:line="560" w:lineRule="exact"/>
        <w:ind w:firstLine="640" w:firstLineChars="200"/>
        <w:rPr>
          <w:rFonts w:hint="eastAsia" w:ascii="仿宋_GB2312" w:hAnsi="仿宋" w:eastAsia="仿宋_GB2312" w:cs="仿宋_GB2312"/>
          <w:color w:val="auto"/>
          <w:sz w:val="32"/>
          <w:szCs w:val="32"/>
          <w:lang w:eastAsia="zh-CN"/>
        </w:rPr>
      </w:pPr>
      <w:r>
        <w:rPr>
          <w:rFonts w:hint="eastAsia" w:ascii="仿宋_GB2312" w:hAnsi="仿宋" w:eastAsia="仿宋_GB2312" w:cs="仿宋_GB2312"/>
          <w:color w:val="auto"/>
          <w:sz w:val="32"/>
          <w:szCs w:val="32"/>
        </w:rPr>
        <w:t>铝作为食品添加剂硫酸铝钾/硫酸铝铵的重要成分，经常会添加在食物中作为膨松剂或稳定剂</w:t>
      </w:r>
      <w:r>
        <w:rPr>
          <w:rFonts w:hint="eastAsia" w:ascii="仿宋_GB2312" w:hAnsi="仿宋" w:cs="仿宋_GB2312"/>
          <w:color w:val="auto"/>
          <w:sz w:val="32"/>
          <w:szCs w:val="32"/>
          <w:lang w:eastAsia="zh-CN"/>
        </w:rPr>
        <w:t>使用</w:t>
      </w:r>
      <w:r>
        <w:rPr>
          <w:rFonts w:hint="eastAsia" w:ascii="仿宋_GB2312" w:hAnsi="仿宋" w:eastAsia="仿宋_GB2312" w:cs="仿宋_GB2312"/>
          <w:color w:val="auto"/>
          <w:sz w:val="32"/>
          <w:szCs w:val="32"/>
        </w:rPr>
        <w:t>。</w:t>
      </w:r>
      <w:r>
        <w:rPr>
          <w:rFonts w:hint="eastAsia" w:ascii="仿宋_GB2312" w:hAnsi="仿宋" w:eastAsia="仿宋_GB2312" w:cs="仿宋_GB2312"/>
          <w:color w:val="000000" w:themeColor="text1"/>
          <w:sz w:val="32"/>
          <w:szCs w:val="32"/>
          <w14:textFill>
            <w14:solidFill>
              <w14:schemeClr w14:val="tx1"/>
            </w14:solidFill>
          </w14:textFill>
        </w:rPr>
        <w:t>《绿</w:t>
      </w:r>
      <w:r>
        <w:rPr>
          <w:rFonts w:hint="eastAsia" w:ascii="仿宋_GB2312" w:hAnsi="仿宋" w:eastAsia="仿宋_GB2312" w:cs="仿宋_GB2312"/>
          <w:color w:val="auto"/>
          <w:sz w:val="32"/>
          <w:szCs w:val="32"/>
        </w:rPr>
        <w:t>色食品 淀粉及淀粉制品》（</w:t>
      </w:r>
      <w:r>
        <w:rPr>
          <w:rFonts w:hint="eastAsia" w:ascii="仿宋_GB2312" w:hAnsi="仿宋" w:eastAsia="仿宋_GB2312"/>
          <w:sz w:val="32"/>
          <w:szCs w:val="32"/>
        </w:rPr>
        <w:t>NY/T 1039-2014</w:t>
      </w:r>
      <w:r>
        <w:rPr>
          <w:rFonts w:hint="eastAsia" w:ascii="仿宋_GB2312" w:hAnsi="仿宋" w:eastAsia="仿宋_GB2312" w:cs="仿宋_GB2312"/>
          <w:color w:val="auto"/>
          <w:sz w:val="32"/>
          <w:szCs w:val="32"/>
        </w:rPr>
        <w:t>）中规定,淀粉制品中铝的残留量(干样品，以Al计)不得检出（</w:t>
      </w:r>
      <w:r>
        <w:rPr>
          <w:rFonts w:hint="eastAsia" w:ascii="仿宋_GB2312" w:hAnsi="仿宋" w:eastAsia="仿宋_GB2312" w:cs="仿宋_GB2312"/>
          <w:color w:val="auto"/>
          <w:sz w:val="32"/>
          <w:szCs w:val="32"/>
          <w:lang w:val="en-US" w:eastAsia="zh-CN"/>
        </w:rPr>
        <w:t>＜</w:t>
      </w:r>
      <w:r>
        <w:rPr>
          <w:rFonts w:hint="eastAsia" w:ascii="仿宋_GB2312" w:hAnsi="仿宋" w:eastAsia="仿宋_GB2312" w:cs="仿宋_GB2312"/>
          <w:color w:val="auto"/>
          <w:sz w:val="32"/>
          <w:szCs w:val="32"/>
        </w:rPr>
        <w:t>25 mg/kg）。铝有一定的慢性毒性，摄入铝超标的食品，在体内可造成铝的蓄积，轻者会使食欲减退，引起贫血，重者引起运动失调等健康危害</w:t>
      </w:r>
      <w:r>
        <w:rPr>
          <w:rFonts w:hint="eastAsia" w:ascii="仿宋_GB2312" w:hAnsi="仿宋" w:cs="仿宋_GB2312"/>
          <w:color w:val="0000FF"/>
          <w:sz w:val="32"/>
          <w:szCs w:val="32"/>
          <w:lang w:eastAsia="zh-CN"/>
        </w:rPr>
        <w:t>。</w:t>
      </w:r>
    </w:p>
    <w:p>
      <w:pPr>
        <w:spacing w:line="560" w:lineRule="exact"/>
        <w:ind w:firstLine="643" w:firstLineChars="200"/>
        <w:rPr>
          <w:rFonts w:ascii="楷体_GB2312" w:hAnsi="楷体" w:eastAsia="楷体_GB2312" w:cs="仿宋_GB2312"/>
          <w:b/>
          <w:sz w:val="32"/>
          <w:szCs w:val="32"/>
        </w:rPr>
      </w:pPr>
      <w:r>
        <w:rPr>
          <w:rFonts w:hint="eastAsia" w:ascii="楷体_GB2312" w:hAnsi="楷体" w:eastAsia="楷体_GB2312" w:cs="仿宋_GB2312"/>
          <w:b/>
          <w:sz w:val="32"/>
          <w:szCs w:val="32"/>
          <w:lang w:eastAsia="zh-CN"/>
        </w:rPr>
        <w:t>（</w:t>
      </w:r>
      <w:r>
        <w:rPr>
          <w:rFonts w:hint="eastAsia" w:ascii="楷体_GB2312" w:hAnsi="楷体" w:eastAsia="楷体_GB2312" w:cs="仿宋_GB2312"/>
          <w:b/>
          <w:sz w:val="32"/>
          <w:szCs w:val="32"/>
          <w:lang w:val="en-US" w:eastAsia="zh-CN"/>
        </w:rPr>
        <w:t>三</w:t>
      </w:r>
      <w:r>
        <w:rPr>
          <w:rFonts w:hint="eastAsia" w:ascii="楷体_GB2312" w:hAnsi="楷体" w:eastAsia="楷体_GB2312" w:cs="仿宋_GB2312"/>
          <w:b/>
          <w:sz w:val="32"/>
          <w:szCs w:val="32"/>
          <w:lang w:eastAsia="zh-CN"/>
        </w:rPr>
        <w:t>）</w:t>
      </w:r>
      <w:r>
        <w:rPr>
          <w:rFonts w:hint="eastAsia" w:ascii="楷体_GB2312" w:hAnsi="楷体" w:eastAsia="楷体_GB2312" w:cs="仿宋_GB2312"/>
          <w:b/>
          <w:sz w:val="32"/>
          <w:szCs w:val="32"/>
        </w:rPr>
        <w:t>苯甲酸及其钠盐</w:t>
      </w:r>
    </w:p>
    <w:p>
      <w:pPr>
        <w:spacing w:line="600" w:lineRule="exact"/>
        <w:ind w:firstLine="640" w:firstLineChars="200"/>
        <w:jc w:val="left"/>
        <w:textAlignment w:val="baseline"/>
        <w:rPr>
          <w:rFonts w:ascii="仿宋_GB2312" w:hAnsi="仿宋" w:eastAsia="仿宋_GB2312"/>
          <w:sz w:val="32"/>
          <w:szCs w:val="32"/>
        </w:rPr>
      </w:pPr>
      <w:r>
        <w:rPr>
          <w:rFonts w:hint="eastAsia" w:ascii="仿宋_GB2312" w:hAnsi="仿宋" w:eastAsia="仿宋_GB2312"/>
          <w:sz w:val="32"/>
          <w:szCs w:val="32"/>
        </w:rPr>
        <w:t>苯甲酸及其钠盐是食品工业中常见的一种防腐保鲜剂，对霉菌、酵</w:t>
      </w:r>
      <w:r>
        <w:rPr>
          <w:rFonts w:hint="eastAsia" w:ascii="仿宋_GB2312" w:hAnsi="仿宋" w:eastAsia="仿宋_GB2312" w:cs="仿宋_GB2312"/>
          <w:color w:val="auto"/>
          <w:sz w:val="32"/>
          <w:szCs w:val="32"/>
          <w:lang w:eastAsia="zh-CN"/>
        </w:rPr>
        <w:t>母和细菌有较好的抑制作用。《食品安全国家标准</w:t>
      </w:r>
      <w:r>
        <w:rPr>
          <w:rFonts w:hint="eastAsia" w:ascii="仿宋_GB2312" w:hAnsi="仿宋" w:cs="仿宋_GB2312"/>
          <w:color w:val="auto"/>
          <w:sz w:val="32"/>
          <w:szCs w:val="32"/>
          <w:lang w:val="en-US" w:eastAsia="zh-CN"/>
        </w:rPr>
        <w:t xml:space="preserve"> </w:t>
      </w:r>
      <w:r>
        <w:rPr>
          <w:rFonts w:hint="eastAsia" w:ascii="仿宋_GB2312" w:hAnsi="仿宋" w:eastAsia="仿宋_GB2312" w:cs="仿宋_GB2312"/>
          <w:color w:val="auto"/>
          <w:sz w:val="32"/>
          <w:szCs w:val="32"/>
          <w:lang w:eastAsia="zh-CN"/>
        </w:rPr>
        <w:t>食品添加剂使用标准》（GB 2760-2014）中规定，</w:t>
      </w:r>
      <w:r>
        <w:rPr>
          <w:rFonts w:hint="eastAsia" w:ascii="仿宋_GB2312" w:hAnsi="仿宋" w:cs="仿宋_GB2312"/>
          <w:color w:val="auto"/>
          <w:sz w:val="32"/>
          <w:szCs w:val="32"/>
          <w:lang w:val="en-US" w:eastAsia="zh-CN"/>
        </w:rPr>
        <w:t>食用菌制品</w:t>
      </w:r>
      <w:r>
        <w:rPr>
          <w:rFonts w:hint="eastAsia" w:ascii="仿宋_GB2312" w:hAnsi="仿宋" w:eastAsia="仿宋_GB2312" w:cs="仿宋_GB2312"/>
          <w:color w:val="auto"/>
          <w:sz w:val="32"/>
          <w:szCs w:val="32"/>
          <w:lang w:eastAsia="zh-CN"/>
        </w:rPr>
        <w:t>中</w:t>
      </w:r>
      <w:r>
        <w:rPr>
          <w:rFonts w:hint="eastAsia" w:ascii="仿宋_GB2312" w:hAnsi="仿宋" w:cs="仿宋_GB2312"/>
          <w:color w:val="auto"/>
          <w:sz w:val="32"/>
          <w:szCs w:val="32"/>
          <w:lang w:val="en-US" w:eastAsia="zh-CN"/>
        </w:rPr>
        <w:t>不得使用</w:t>
      </w:r>
      <w:r>
        <w:rPr>
          <w:rFonts w:hint="eastAsia" w:ascii="仿宋_GB2312" w:hAnsi="仿宋" w:eastAsia="仿宋_GB2312" w:cs="仿宋_GB2312"/>
          <w:color w:val="auto"/>
          <w:sz w:val="32"/>
          <w:szCs w:val="32"/>
          <w:lang w:eastAsia="zh-CN"/>
        </w:rPr>
        <w:t>苯甲酸及其钠盐</w:t>
      </w:r>
      <w:r>
        <w:rPr>
          <w:rFonts w:hint="eastAsia" w:ascii="仿宋_GB2312" w:hAnsi="仿宋" w:cs="仿宋_GB2312"/>
          <w:color w:val="auto"/>
          <w:sz w:val="32"/>
          <w:szCs w:val="32"/>
          <w:lang w:eastAsia="zh-CN"/>
        </w:rPr>
        <w:t>（</w:t>
      </w:r>
      <w:r>
        <w:rPr>
          <w:rFonts w:hint="eastAsia" w:ascii="仿宋_GB2312" w:hAnsi="仿宋" w:cs="仿宋_GB2312"/>
          <w:color w:val="auto"/>
          <w:sz w:val="32"/>
          <w:szCs w:val="32"/>
          <w:lang w:val="en-US" w:eastAsia="zh-CN"/>
        </w:rPr>
        <w:t>以苯甲酸计</w:t>
      </w:r>
      <w:r>
        <w:rPr>
          <w:rFonts w:hint="eastAsia" w:ascii="仿宋_GB2312" w:hAnsi="仿宋" w:cs="仿宋_GB2312"/>
          <w:color w:val="auto"/>
          <w:sz w:val="32"/>
          <w:szCs w:val="32"/>
          <w:lang w:eastAsia="zh-CN"/>
        </w:rPr>
        <w:t>）</w:t>
      </w:r>
      <w:r>
        <w:rPr>
          <w:rFonts w:hint="eastAsia" w:ascii="仿宋_GB2312" w:hAnsi="仿宋" w:eastAsia="仿宋_GB2312" w:cs="仿宋_GB2312"/>
          <w:color w:val="auto"/>
          <w:sz w:val="32"/>
          <w:szCs w:val="32"/>
          <w:lang w:eastAsia="zh-CN"/>
        </w:rPr>
        <w:t>。苯甲酸及其钠盐的安全性较高，少量苯甲酸对人体无毒害，</w:t>
      </w:r>
      <w:r>
        <w:rPr>
          <w:rFonts w:hint="eastAsia" w:ascii="仿宋_GB2312" w:hAnsi="仿宋" w:eastAsia="仿宋_GB2312"/>
          <w:sz w:val="32"/>
          <w:szCs w:val="32"/>
        </w:rPr>
        <w:t>可随尿液排出体外，在人体内不会蓄积，但人体若长期过量食入苯甲酸超标的食品可能会对肝脏功能产生一定影响。</w:t>
      </w:r>
    </w:p>
    <w:p>
      <w:pPr>
        <w:spacing w:line="560" w:lineRule="exact"/>
        <w:ind w:firstLine="643" w:firstLineChars="200"/>
        <w:rPr>
          <w:rFonts w:hint="eastAsia" w:ascii="楷体_GB2312" w:hAnsi="楷体" w:eastAsia="楷体_GB2312" w:cs="仿宋_GB2312"/>
          <w:b/>
          <w:sz w:val="32"/>
          <w:szCs w:val="32"/>
          <w:lang w:eastAsia="zh-CN"/>
        </w:rPr>
      </w:pPr>
      <w:r>
        <w:rPr>
          <w:rFonts w:hint="eastAsia" w:ascii="楷体_GB2312" w:hAnsi="楷体" w:eastAsia="楷体_GB2312" w:cs="仿宋_GB2312"/>
          <w:b/>
          <w:sz w:val="32"/>
          <w:szCs w:val="32"/>
          <w:lang w:eastAsia="zh-CN"/>
        </w:rPr>
        <w:t>（</w:t>
      </w:r>
      <w:r>
        <w:rPr>
          <w:rFonts w:hint="eastAsia" w:ascii="楷体_GB2312" w:hAnsi="楷体" w:eastAsia="楷体_GB2312" w:cs="仿宋_GB2312"/>
          <w:b/>
          <w:sz w:val="32"/>
          <w:szCs w:val="32"/>
          <w:lang w:val="en-US" w:eastAsia="zh-CN"/>
        </w:rPr>
        <w:t>四</w:t>
      </w:r>
      <w:r>
        <w:rPr>
          <w:rFonts w:hint="eastAsia" w:ascii="楷体_GB2312" w:hAnsi="楷体" w:eastAsia="楷体_GB2312" w:cs="仿宋_GB2312"/>
          <w:b/>
          <w:sz w:val="32"/>
          <w:szCs w:val="32"/>
          <w:lang w:eastAsia="zh-CN"/>
        </w:rPr>
        <w:t>）大肠菌群</w:t>
      </w:r>
    </w:p>
    <w:p>
      <w:pPr>
        <w:pStyle w:val="9"/>
        <w:shd w:val="clear" w:color="auto" w:fill="FFFFFF"/>
        <w:spacing w:before="0" w:beforeAutospacing="0" w:after="0" w:afterAutospacing="0" w:line="560" w:lineRule="exact"/>
        <w:ind w:firstLine="864" w:firstLineChars="270"/>
        <w:rPr>
          <w:rFonts w:hint="eastAsia" w:ascii="仿宋_GB2312" w:hAnsi="仿宋" w:eastAsia="仿宋_GB2312"/>
          <w:color w:val="auto"/>
          <w:sz w:val="32"/>
          <w:szCs w:val="32"/>
        </w:rPr>
      </w:pPr>
      <w:r>
        <w:rPr>
          <w:rFonts w:ascii="仿宋_GB2312" w:hAnsi="仿宋" w:eastAsia="仿宋_GB2312"/>
          <w:sz w:val="32"/>
          <w:szCs w:val="32"/>
          <w:lang w:val="zh-CN"/>
        </w:rPr>
        <w:t>大肠菌群是国内外通用的食品污染常用指示菌之一。《食品安全国家标</w:t>
      </w:r>
      <w:r>
        <w:rPr>
          <w:rFonts w:hint="eastAsia" w:ascii="仿宋_GB2312" w:hAnsi="仿宋" w:eastAsia="仿宋_GB2312"/>
          <w:sz w:val="32"/>
          <w:szCs w:val="32"/>
          <w:lang w:val="zh-CN"/>
        </w:rPr>
        <w:t>准 消毒餐（饮）具</w:t>
      </w:r>
      <w:r>
        <w:rPr>
          <w:rFonts w:ascii="仿宋_GB2312" w:hAnsi="仿宋" w:eastAsia="仿宋_GB2312"/>
          <w:sz w:val="32"/>
          <w:szCs w:val="32"/>
          <w:lang w:val="zh-CN"/>
        </w:rPr>
        <w:t xml:space="preserve">》（GB </w:t>
      </w:r>
      <w:r>
        <w:rPr>
          <w:rFonts w:hint="eastAsia" w:ascii="仿宋_GB2312" w:hAnsi="仿宋" w:eastAsia="仿宋_GB2312"/>
          <w:sz w:val="32"/>
          <w:szCs w:val="32"/>
          <w:lang w:val="zh-CN"/>
        </w:rPr>
        <w:t>14934</w:t>
      </w:r>
      <w:r>
        <w:rPr>
          <w:rFonts w:hint="eastAsia" w:ascii="仿宋_GB2312" w:hAnsi="仿宋" w:eastAsia="仿宋_GB2312"/>
          <w:color w:val="0000FF"/>
          <w:sz w:val="32"/>
          <w:szCs w:val="32"/>
          <w:lang w:val="en-US" w:eastAsia="zh-CN"/>
        </w:rPr>
        <w:t>-</w:t>
      </w:r>
      <w:r>
        <w:rPr>
          <w:rFonts w:ascii="仿宋_GB2312" w:hAnsi="仿宋" w:eastAsia="仿宋_GB2312"/>
          <w:sz w:val="32"/>
          <w:szCs w:val="32"/>
          <w:lang w:val="zh-CN"/>
        </w:rPr>
        <w:t>201</w:t>
      </w:r>
      <w:r>
        <w:rPr>
          <w:rFonts w:hint="eastAsia" w:ascii="仿宋_GB2312" w:hAnsi="仿宋" w:eastAsia="仿宋_GB2312"/>
          <w:sz w:val="32"/>
          <w:szCs w:val="32"/>
          <w:lang w:val="zh-CN"/>
        </w:rPr>
        <w:t>6</w:t>
      </w:r>
      <w:r>
        <w:rPr>
          <w:rFonts w:ascii="仿宋_GB2312" w:hAnsi="仿宋" w:eastAsia="仿宋_GB2312"/>
          <w:sz w:val="32"/>
          <w:szCs w:val="32"/>
          <w:lang w:val="zh-CN"/>
        </w:rPr>
        <w:t>）中规定，</w:t>
      </w:r>
      <w:r>
        <w:rPr>
          <w:rFonts w:hint="eastAsia" w:ascii="仿宋_GB2312" w:hAnsi="仿宋" w:eastAsia="仿宋_GB2312"/>
          <w:sz w:val="32"/>
          <w:szCs w:val="32"/>
          <w:lang w:val="zh-CN"/>
        </w:rPr>
        <w:t>消毒餐（饮）具</w:t>
      </w:r>
      <w:r>
        <w:rPr>
          <w:rFonts w:hint="eastAsia" w:ascii="仿宋_GB2312" w:hAnsi="仿宋" w:eastAsia="仿宋_GB2312"/>
          <w:color w:val="auto"/>
          <w:sz w:val="32"/>
          <w:szCs w:val="32"/>
          <w:lang w:val="zh-CN"/>
        </w:rPr>
        <w:t>（每50</w:t>
      </w:r>
      <w:r>
        <w:rPr>
          <w:rFonts w:hint="eastAsia" w:ascii="仿宋_GB2312" w:hAnsi="仿宋" w:eastAsia="仿宋_GB2312"/>
          <w:color w:val="auto"/>
          <w:sz w:val="32"/>
          <w:szCs w:val="32"/>
          <w:lang w:val="en-US" w:eastAsia="zh-CN"/>
        </w:rPr>
        <w:t>c</w:t>
      </w:r>
      <w:r>
        <w:rPr>
          <w:rFonts w:hint="eastAsia" w:ascii="仿宋_GB2312" w:hAnsi="仿宋" w:eastAsia="仿宋_GB2312"/>
          <w:color w:val="auto"/>
          <w:sz w:val="32"/>
          <w:szCs w:val="32"/>
          <w:lang w:val="zh-CN"/>
        </w:rPr>
        <w:t>m</w:t>
      </w:r>
      <w:r>
        <w:rPr>
          <w:rFonts w:hint="eastAsia" w:ascii="仿宋_GB2312" w:hAnsi="仿宋" w:eastAsia="仿宋_GB2312"/>
          <w:color w:val="auto"/>
          <w:sz w:val="32"/>
          <w:szCs w:val="32"/>
          <w:vertAlign w:val="superscript"/>
          <w:lang w:val="zh-CN"/>
        </w:rPr>
        <w:t>2</w:t>
      </w:r>
      <w:r>
        <w:rPr>
          <w:rFonts w:hint="eastAsia" w:ascii="仿宋_GB2312" w:hAnsi="仿宋" w:eastAsia="仿宋_GB2312"/>
          <w:color w:val="auto"/>
          <w:sz w:val="32"/>
          <w:szCs w:val="32"/>
          <w:lang w:val="zh-CN"/>
        </w:rPr>
        <w:t>）中不得检出大肠菌群。</w:t>
      </w:r>
      <w:r>
        <w:rPr>
          <w:rFonts w:hint="eastAsia" w:ascii="仿宋_GB2312" w:hAnsi="仿宋" w:eastAsia="仿宋_GB2312"/>
          <w:color w:val="auto"/>
          <w:sz w:val="32"/>
          <w:szCs w:val="32"/>
        </w:rPr>
        <w:t>餐饮具中检出大肠菌群提示餐饮具可能因清洗消毒不当或交叉污染导致食具受到肠道致病菌污染，如就餐者使用了大肠菌群不合格的餐饮具，可能会出现呕吐、腹泻等消化道疾病。</w:t>
      </w:r>
    </w:p>
    <w:p>
      <w:pPr>
        <w:spacing w:line="560" w:lineRule="exact"/>
        <w:ind w:firstLine="643" w:firstLineChars="200"/>
        <w:rPr>
          <w:rFonts w:hint="eastAsia" w:ascii="楷体_GB2312" w:hAnsi="楷体" w:eastAsia="楷体_GB2312" w:cs="仿宋_GB2312"/>
          <w:b/>
          <w:sz w:val="32"/>
          <w:szCs w:val="32"/>
          <w:lang w:eastAsia="zh-CN"/>
        </w:rPr>
      </w:pPr>
      <w:r>
        <w:rPr>
          <w:rFonts w:hint="eastAsia" w:ascii="楷体_GB2312" w:hAnsi="楷体" w:eastAsia="楷体_GB2312" w:cs="仿宋_GB2312"/>
          <w:b/>
          <w:sz w:val="32"/>
          <w:szCs w:val="32"/>
          <w:lang w:eastAsia="zh-CN"/>
        </w:rPr>
        <w:t>（</w:t>
      </w:r>
      <w:r>
        <w:rPr>
          <w:rFonts w:hint="eastAsia" w:ascii="楷体_GB2312" w:hAnsi="楷体" w:eastAsia="楷体_GB2312" w:cs="仿宋_GB2312"/>
          <w:b/>
          <w:sz w:val="32"/>
          <w:szCs w:val="32"/>
          <w:lang w:val="en-US" w:eastAsia="zh-CN"/>
        </w:rPr>
        <w:t>五</w:t>
      </w:r>
      <w:r>
        <w:rPr>
          <w:rFonts w:hint="eastAsia" w:ascii="楷体_GB2312" w:hAnsi="楷体" w:eastAsia="楷体_GB2312" w:cs="仿宋_GB2312"/>
          <w:b/>
          <w:sz w:val="32"/>
          <w:szCs w:val="32"/>
          <w:lang w:eastAsia="zh-CN"/>
        </w:rPr>
        <w:t>）过氧化值</w:t>
      </w:r>
    </w:p>
    <w:p>
      <w:pPr>
        <w:spacing w:line="560" w:lineRule="exact"/>
        <w:ind w:firstLine="640" w:firstLineChars="200"/>
        <w:rPr>
          <w:rFonts w:ascii="仿宋_GB2312" w:hAnsi="仿宋" w:eastAsia="仿宋_GB2312"/>
          <w:color w:val="auto"/>
          <w:sz w:val="32"/>
          <w:szCs w:val="32"/>
        </w:rPr>
      </w:pPr>
      <w:r>
        <w:rPr>
          <w:rFonts w:hint="eastAsia" w:ascii="仿宋_GB2312" w:hAnsi="仿宋" w:eastAsia="仿宋_GB2312" w:cs="仿宋"/>
          <w:color w:val="auto"/>
          <w:sz w:val="32"/>
          <w:szCs w:val="32"/>
        </w:rPr>
        <w:t>过氧化值主要反映食品中油脂是否氧化变质。随着油脂被氧化，过氧化值会逐步升高。</w:t>
      </w:r>
      <w:r>
        <w:rPr>
          <w:rFonts w:hint="eastAsia" w:ascii="仿宋_GB2312" w:hAnsi="仿宋" w:eastAsia="仿宋_GB2312"/>
          <w:color w:val="auto"/>
          <w:sz w:val="32"/>
          <w:szCs w:val="32"/>
        </w:rPr>
        <w:t>《食品安全国家标准 坚果与籽类食品》</w:t>
      </w:r>
      <w:r>
        <w:rPr>
          <w:rFonts w:hint="eastAsia" w:ascii="仿宋_GB2312" w:hAnsi="仿宋" w:eastAsia="仿宋_GB2312"/>
          <w:color w:val="auto"/>
          <w:sz w:val="32"/>
          <w:szCs w:val="32"/>
          <w:lang w:eastAsia="zh-CN"/>
        </w:rPr>
        <w:t>（</w:t>
      </w:r>
      <w:r>
        <w:rPr>
          <w:rFonts w:hint="eastAsia" w:ascii="仿宋_GB2312" w:hAnsi="仿宋" w:eastAsia="仿宋_GB2312"/>
          <w:color w:val="auto"/>
          <w:sz w:val="32"/>
          <w:szCs w:val="32"/>
        </w:rPr>
        <w:t>GB 19300-2014</w:t>
      </w:r>
      <w:r>
        <w:rPr>
          <w:rFonts w:hint="eastAsia" w:ascii="仿宋_GB2312" w:hAnsi="仿宋" w:eastAsia="仿宋_GB2312"/>
          <w:color w:val="auto"/>
          <w:sz w:val="32"/>
          <w:szCs w:val="32"/>
          <w:lang w:eastAsia="zh-CN"/>
        </w:rPr>
        <w:t>）</w:t>
      </w:r>
      <w:r>
        <w:rPr>
          <w:rFonts w:hint="eastAsia" w:ascii="仿宋_GB2312" w:hAnsi="仿宋" w:eastAsia="仿宋_GB2312"/>
          <w:color w:val="auto"/>
          <w:sz w:val="32"/>
          <w:szCs w:val="32"/>
        </w:rPr>
        <w:t>中规定，</w:t>
      </w:r>
      <w:r>
        <w:rPr>
          <w:rFonts w:hint="eastAsia" w:ascii="仿宋_GB2312" w:hAnsi="仿宋" w:eastAsia="仿宋_GB2312" w:cs="宋体"/>
          <w:kern w:val="0"/>
          <w:sz w:val="32"/>
          <w:szCs w:val="32"/>
          <w:lang w:val="zh-CN"/>
        </w:rPr>
        <w:t>熟制葵花籽过氧化值应</w:t>
      </w:r>
      <w:r>
        <w:rPr>
          <w:rFonts w:hint="eastAsia" w:ascii="仿宋_GB2312" w:hAnsi="仿宋" w:eastAsia="仿宋_GB2312"/>
          <w:sz w:val="32"/>
          <w:szCs w:val="32"/>
        </w:rPr>
        <w:t>≤0.80g/100g，其他熟制坚果和籽类食品</w:t>
      </w:r>
      <w:r>
        <w:rPr>
          <w:rFonts w:hint="eastAsia" w:ascii="仿宋_GB2312" w:hAnsi="仿宋" w:eastAsia="仿宋_GB2312" w:cs="宋体"/>
          <w:kern w:val="0"/>
          <w:sz w:val="32"/>
          <w:szCs w:val="32"/>
          <w:lang w:val="zh-CN"/>
        </w:rPr>
        <w:t>过氧化值应</w:t>
      </w:r>
      <w:r>
        <w:rPr>
          <w:rFonts w:hint="eastAsia" w:ascii="仿宋_GB2312" w:hAnsi="仿宋" w:eastAsia="仿宋_GB2312"/>
          <w:sz w:val="32"/>
          <w:szCs w:val="32"/>
        </w:rPr>
        <w:t>≤0.50g/100g。</w:t>
      </w:r>
      <w:r>
        <w:rPr>
          <w:rFonts w:hint="eastAsia" w:ascii="仿宋_GB2312" w:hAnsi="仿宋" w:eastAsia="仿宋_GB2312" w:cs="仿宋"/>
          <w:color w:val="auto"/>
          <w:sz w:val="32"/>
          <w:szCs w:val="32"/>
        </w:rPr>
        <w:t>食用</w:t>
      </w:r>
      <w:r>
        <w:rPr>
          <w:rFonts w:hint="eastAsia" w:ascii="仿宋_GB2312" w:hAnsi="仿宋" w:eastAsia="仿宋_GB2312"/>
          <w:color w:val="auto"/>
          <w:sz w:val="32"/>
          <w:szCs w:val="32"/>
        </w:rPr>
        <w:t>过氧化值过高的食品可能会导致肠胃不适、腹泻等症状。</w:t>
      </w:r>
    </w:p>
    <w:p>
      <w:pPr>
        <w:spacing w:line="560" w:lineRule="exact"/>
        <w:ind w:firstLine="643" w:firstLineChars="200"/>
        <w:rPr>
          <w:rFonts w:hint="eastAsia" w:ascii="楷体_GB2312" w:hAnsi="楷体" w:eastAsia="楷体_GB2312" w:cs="仿宋_GB2312"/>
          <w:b/>
          <w:sz w:val="32"/>
          <w:szCs w:val="32"/>
          <w:lang w:val="zh-CN" w:eastAsia="zh-CN"/>
        </w:rPr>
      </w:pPr>
      <w:r>
        <w:rPr>
          <w:rFonts w:hint="eastAsia" w:ascii="楷体_GB2312" w:hAnsi="楷体" w:eastAsia="楷体_GB2312" w:cs="仿宋_GB2312"/>
          <w:b/>
          <w:sz w:val="32"/>
          <w:szCs w:val="32"/>
          <w:lang w:val="zh-CN" w:eastAsia="zh-CN"/>
        </w:rPr>
        <w:t>（</w:t>
      </w:r>
      <w:r>
        <w:rPr>
          <w:rFonts w:hint="eastAsia" w:ascii="楷体_GB2312" w:hAnsi="楷体" w:eastAsia="楷体_GB2312" w:cs="仿宋_GB2312"/>
          <w:b/>
          <w:sz w:val="32"/>
          <w:szCs w:val="32"/>
          <w:lang w:val="en-US" w:eastAsia="zh-CN"/>
        </w:rPr>
        <w:t>六</w:t>
      </w:r>
      <w:r>
        <w:rPr>
          <w:rFonts w:hint="eastAsia" w:ascii="楷体_GB2312" w:hAnsi="楷体" w:eastAsia="楷体_GB2312" w:cs="仿宋_GB2312"/>
          <w:b/>
          <w:sz w:val="32"/>
          <w:szCs w:val="32"/>
          <w:lang w:val="zh-CN" w:eastAsia="zh-CN"/>
        </w:rPr>
        <w:t>）阴离子合成洗涤剂 </w:t>
      </w:r>
    </w:p>
    <w:p>
      <w:pPr>
        <w:pStyle w:val="9"/>
        <w:shd w:val="clear" w:color="auto" w:fill="FFFFFF"/>
        <w:spacing w:before="0" w:beforeAutospacing="0" w:after="0" w:afterAutospacing="0" w:line="560" w:lineRule="exact"/>
        <w:ind w:firstLine="640" w:firstLineChars="200"/>
        <w:jc w:val="both"/>
        <w:rPr>
          <w:rFonts w:hint="eastAsia" w:ascii="仿宋_GB2312" w:hAnsi="仿宋" w:eastAsia="仿宋_GB2312" w:cs="仿宋"/>
          <w:color w:val="auto"/>
          <w:kern w:val="2"/>
          <w:sz w:val="32"/>
          <w:szCs w:val="32"/>
          <w:lang w:val="en-US" w:eastAsia="zh-CN" w:bidi="ar-SA"/>
        </w:rPr>
      </w:pPr>
      <w:r>
        <w:rPr>
          <w:rFonts w:hint="eastAsia" w:ascii="仿宋_GB2312" w:hAnsi="仿宋" w:eastAsia="仿宋_GB2312" w:cs="仿宋"/>
          <w:color w:val="auto"/>
          <w:kern w:val="2"/>
          <w:sz w:val="32"/>
          <w:szCs w:val="32"/>
          <w:lang w:val="en-US" w:eastAsia="zh-CN" w:bidi="ar-SA"/>
        </w:rPr>
        <w:t>阴离子合成洗涤剂，即我们日常生活中经常用到的洗衣粉、洗洁精、洗衣液、肥皂等洗涤剂的主要成分，其主要成分十二烷基磺酸钠，是一种低毒物质,因其使用方便、易溶解、稳定性好、成本低等优点,在消毒企业中广泛使用。</w:t>
      </w:r>
      <w:r>
        <w:rPr>
          <w:rFonts w:hint="eastAsia" w:ascii="仿宋_GB2312" w:hAnsi="仿宋" w:eastAsia="仿宋_GB2312" w:cs="仿宋"/>
          <w:color w:val="auto"/>
          <w:kern w:val="2"/>
          <w:sz w:val="32"/>
          <w:szCs w:val="32"/>
          <w:lang w:val="zh-CN" w:eastAsia="zh-CN" w:bidi="ar-SA"/>
        </w:rPr>
        <w:t>食品安全国家标准 消毒餐（饮）具》（GB 14934—2016）中规定，消毒餐（饮）具中不得检出</w:t>
      </w:r>
      <w:r>
        <w:rPr>
          <w:rFonts w:hint="eastAsia" w:ascii="仿宋_GB2312" w:hAnsi="仿宋" w:eastAsia="仿宋_GB2312" w:cs="仿宋"/>
          <w:color w:val="auto"/>
          <w:kern w:val="2"/>
          <w:sz w:val="32"/>
          <w:szCs w:val="32"/>
          <w:lang w:val="en-US" w:eastAsia="zh-CN" w:bidi="ar-SA"/>
        </w:rPr>
        <w:t>阴离子合成洗涤剂(以十二烷基苯磺酸钠计)</w:t>
      </w:r>
      <w:r>
        <w:rPr>
          <w:rFonts w:hint="eastAsia" w:ascii="仿宋_GB2312" w:hAnsi="仿宋" w:eastAsia="仿宋_GB2312" w:cs="仿宋"/>
          <w:color w:val="auto"/>
          <w:kern w:val="2"/>
          <w:sz w:val="32"/>
          <w:szCs w:val="32"/>
          <w:lang w:val="zh-CN" w:eastAsia="zh-CN" w:bidi="ar-SA"/>
        </w:rPr>
        <w:t>。</w:t>
      </w:r>
      <w:r>
        <w:rPr>
          <w:rFonts w:hint="eastAsia" w:ascii="仿宋_GB2312" w:hAnsi="仿宋" w:eastAsia="仿宋_GB2312" w:cs="华文中宋"/>
          <w:color w:val="auto"/>
          <w:kern w:val="2"/>
          <w:sz w:val="32"/>
          <w:szCs w:val="32"/>
          <w:lang w:val="en-US" w:eastAsia="zh-CN" w:bidi="ar-SA"/>
        </w:rPr>
        <w:t>部分餐饮从业人员卫生意识不强，用洗涤剂浸泡餐（饮）具后，未用清水冲刷或者冲刷时间较短易导致洗涤剂残留。长期使用十二烷基苯磺酸钠超</w:t>
      </w:r>
      <w:r>
        <w:rPr>
          <w:rFonts w:hint="eastAsia" w:ascii="仿宋_GB2312" w:hAnsi="仿宋" w:eastAsia="仿宋_GB2312" w:cs="仿宋"/>
          <w:color w:val="auto"/>
          <w:kern w:val="2"/>
          <w:sz w:val="32"/>
          <w:szCs w:val="32"/>
          <w:lang w:val="en-US" w:eastAsia="zh-CN" w:bidi="ar-SA"/>
        </w:rPr>
        <w:t>标的餐（饮）具，可能容易引起呼吸系统过敏性反应。</w:t>
      </w:r>
    </w:p>
    <w:p>
      <w:pPr>
        <w:spacing w:line="560" w:lineRule="exact"/>
        <w:ind w:firstLine="643" w:firstLineChars="200"/>
        <w:rPr>
          <w:rFonts w:hint="eastAsia"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zh-CN" w:eastAsia="zh-CN"/>
        </w:rPr>
        <w:t>（七）</w:t>
      </w:r>
      <w:r>
        <w:rPr>
          <w:rFonts w:hint="eastAsia" w:ascii="方正楷体_GB2312" w:hAnsi="方正楷体_GB2312" w:eastAsia="方正楷体_GB2312" w:cs="方正楷体_GB2312"/>
          <w:b/>
          <w:sz w:val="32"/>
          <w:szCs w:val="32"/>
          <w:lang w:val="en-US" w:eastAsia="zh-CN"/>
        </w:rPr>
        <w:t>氨基酸态氮</w:t>
      </w:r>
    </w:p>
    <w:p>
      <w:pPr>
        <w:pStyle w:val="9"/>
        <w:shd w:val="clear" w:color="auto" w:fill="FFFFFF"/>
        <w:spacing w:before="0" w:beforeAutospacing="0" w:after="0" w:afterAutospacing="0" w:line="560" w:lineRule="exact"/>
        <w:ind w:firstLine="640" w:firstLineChars="200"/>
        <w:jc w:val="both"/>
        <w:rPr>
          <w:rFonts w:hint="eastAsia" w:ascii="仿宋_GB2312" w:hAnsi="仿宋" w:eastAsia="仿宋_GB2312" w:cs="仿宋"/>
          <w:color w:val="auto"/>
          <w:kern w:val="2"/>
          <w:sz w:val="32"/>
          <w:szCs w:val="32"/>
          <w:lang w:val="zh-CN" w:eastAsia="zh-CN" w:bidi="ar-SA"/>
        </w:rPr>
      </w:pPr>
      <w:r>
        <w:rPr>
          <w:rFonts w:hint="eastAsia" w:ascii="仿宋_GB2312" w:hAnsi="仿宋" w:eastAsia="仿宋_GB2312" w:cs="仿宋"/>
          <w:color w:val="auto"/>
          <w:kern w:val="2"/>
          <w:sz w:val="32"/>
          <w:szCs w:val="32"/>
          <w:lang w:val="zh-CN" w:eastAsia="zh-CN" w:bidi="ar-SA"/>
        </w:rPr>
        <w:t>氨基酸态氮是发酵调味品的特征性品质指标之一。《</w:t>
      </w:r>
      <w:r>
        <w:rPr>
          <w:rFonts w:hint="eastAsia" w:ascii="仿宋_GB2312" w:hAnsi="仿宋" w:eastAsia="仿宋_GB2312" w:cs="仿宋"/>
          <w:color w:val="auto"/>
          <w:kern w:val="2"/>
          <w:sz w:val="32"/>
          <w:szCs w:val="32"/>
          <w:lang w:val="en-US" w:eastAsia="zh-CN" w:bidi="ar-SA"/>
        </w:rPr>
        <w:t>地理标志产品 郫县豆瓣</w:t>
      </w:r>
      <w:r>
        <w:rPr>
          <w:rFonts w:hint="eastAsia" w:ascii="仿宋_GB2312" w:hAnsi="仿宋" w:eastAsia="仿宋_GB2312" w:cs="仿宋"/>
          <w:color w:val="auto"/>
          <w:kern w:val="2"/>
          <w:sz w:val="32"/>
          <w:szCs w:val="32"/>
          <w:lang w:val="zh-CN" w:eastAsia="zh-CN" w:bidi="ar-SA"/>
        </w:rPr>
        <w:t>》（</w:t>
      </w:r>
      <w:r>
        <w:rPr>
          <w:rFonts w:hint="eastAsia" w:ascii="仿宋_GB2312" w:hAnsi="仿宋" w:eastAsia="仿宋_GB2312" w:cs="仿宋"/>
          <w:color w:val="auto"/>
          <w:kern w:val="2"/>
          <w:sz w:val="32"/>
          <w:szCs w:val="32"/>
          <w:lang w:val="en-US" w:eastAsia="zh-CN" w:bidi="ar-SA"/>
        </w:rPr>
        <w:t>G</w:t>
      </w:r>
      <w:r>
        <w:rPr>
          <w:rFonts w:hint="eastAsia" w:ascii="仿宋_GB2312" w:hAnsi="仿宋" w:eastAsia="仿宋_GB2312" w:cs="仿宋"/>
          <w:color w:val="auto"/>
          <w:kern w:val="2"/>
          <w:sz w:val="32"/>
          <w:szCs w:val="32"/>
          <w:lang w:val="zh-CN" w:eastAsia="zh-CN" w:bidi="ar-SA"/>
        </w:rPr>
        <w:t>B</w:t>
      </w:r>
      <w:r>
        <w:rPr>
          <w:rFonts w:hint="eastAsia" w:ascii="仿宋_GB2312" w:hAnsi="仿宋" w:eastAsia="仿宋_GB2312" w:cs="仿宋"/>
          <w:color w:val="auto"/>
          <w:kern w:val="2"/>
          <w:sz w:val="32"/>
          <w:szCs w:val="32"/>
          <w:lang w:val="en-US" w:eastAsia="zh-CN" w:bidi="ar-SA"/>
        </w:rPr>
        <w:t>/T</w:t>
      </w:r>
      <w:r>
        <w:rPr>
          <w:rFonts w:hint="eastAsia" w:ascii="仿宋_GB2312" w:hAnsi="仿宋" w:eastAsia="仿宋_GB2312" w:cs="仿宋"/>
          <w:color w:val="auto"/>
          <w:kern w:val="2"/>
          <w:sz w:val="32"/>
          <w:szCs w:val="32"/>
          <w:lang w:val="zh-CN" w:eastAsia="zh-CN" w:bidi="ar-SA"/>
        </w:rPr>
        <w:t xml:space="preserve"> </w:t>
      </w:r>
      <w:r>
        <w:rPr>
          <w:rFonts w:hint="eastAsia" w:ascii="仿宋_GB2312" w:hAnsi="仿宋" w:eastAsia="仿宋_GB2312" w:cs="仿宋"/>
          <w:color w:val="auto"/>
          <w:kern w:val="2"/>
          <w:sz w:val="32"/>
          <w:szCs w:val="32"/>
          <w:lang w:val="en-US" w:eastAsia="zh-CN" w:bidi="ar-SA"/>
        </w:rPr>
        <w:t>20560</w:t>
      </w:r>
      <w:r>
        <w:rPr>
          <w:rFonts w:hint="eastAsia" w:ascii="仿宋_GB2312" w:hAnsi="仿宋" w:eastAsia="仿宋_GB2312" w:cs="仿宋"/>
          <w:color w:val="auto"/>
          <w:kern w:val="2"/>
          <w:sz w:val="32"/>
          <w:szCs w:val="32"/>
          <w:lang w:val="zh-CN" w:eastAsia="zh-CN" w:bidi="ar-SA"/>
        </w:rPr>
        <w:t>-20</w:t>
      </w:r>
      <w:r>
        <w:rPr>
          <w:rFonts w:hint="eastAsia" w:ascii="仿宋_GB2312" w:hAnsi="仿宋" w:eastAsia="仿宋_GB2312" w:cs="仿宋"/>
          <w:color w:val="auto"/>
          <w:kern w:val="2"/>
          <w:sz w:val="32"/>
          <w:szCs w:val="32"/>
          <w:lang w:val="en-US" w:eastAsia="zh-CN" w:bidi="ar-SA"/>
        </w:rPr>
        <w:t>06</w:t>
      </w:r>
      <w:r>
        <w:rPr>
          <w:rFonts w:hint="eastAsia" w:ascii="仿宋_GB2312" w:hAnsi="仿宋" w:eastAsia="仿宋_GB2312" w:cs="仿宋"/>
          <w:color w:val="auto"/>
          <w:kern w:val="2"/>
          <w:sz w:val="32"/>
          <w:szCs w:val="32"/>
          <w:lang w:val="zh-CN" w:eastAsia="zh-CN" w:bidi="ar-SA"/>
        </w:rPr>
        <w:t>）中规定</w:t>
      </w:r>
      <w:r>
        <w:rPr>
          <w:rFonts w:hint="eastAsia" w:ascii="仿宋_GB2312" w:hAnsi="仿宋" w:eastAsia="仿宋_GB2312" w:cs="仿宋"/>
          <w:color w:val="auto"/>
          <w:kern w:val="2"/>
          <w:sz w:val="32"/>
          <w:szCs w:val="32"/>
          <w:lang w:val="en-US" w:eastAsia="zh-CN" w:bidi="ar-SA"/>
        </w:rPr>
        <w:t>,二级郫县豆瓣中氨基酸态氮(以氮计)应≥0.18g/100g。</w:t>
      </w:r>
      <w:r>
        <w:rPr>
          <w:rFonts w:hint="eastAsia" w:ascii="仿宋_GB2312" w:hAnsi="仿宋" w:eastAsia="仿宋_GB2312" w:cs="仿宋"/>
          <w:color w:val="auto"/>
          <w:kern w:val="2"/>
          <w:sz w:val="32"/>
          <w:szCs w:val="32"/>
          <w:lang w:val="zh-CN" w:eastAsia="zh-CN" w:bidi="ar-SA"/>
        </w:rPr>
        <w:t>《食品安全国家标准 酿造酱》</w:t>
      </w:r>
      <w:r>
        <w:rPr>
          <w:rFonts w:hint="eastAsia" w:ascii="仿宋_GB2312" w:hAnsi="仿宋" w:eastAsia="仿宋_GB2312" w:cs="仿宋"/>
          <w:color w:val="auto"/>
          <w:kern w:val="2"/>
          <w:sz w:val="32"/>
          <w:szCs w:val="32"/>
          <w:lang w:val="en-US" w:eastAsia="zh-CN" w:bidi="ar-SA"/>
        </w:rPr>
        <w:t>(</w:t>
      </w:r>
      <w:r>
        <w:rPr>
          <w:rFonts w:hint="eastAsia" w:ascii="仿宋_GB2312" w:hAnsi="仿宋" w:eastAsia="仿宋_GB2312" w:cs="仿宋"/>
          <w:color w:val="auto"/>
          <w:kern w:val="2"/>
          <w:sz w:val="32"/>
          <w:szCs w:val="32"/>
          <w:lang w:val="zh-CN" w:eastAsia="zh-CN" w:bidi="ar-SA"/>
        </w:rPr>
        <w:t>GB 2718-2014</w:t>
      </w:r>
      <w:r>
        <w:rPr>
          <w:rFonts w:hint="eastAsia" w:ascii="仿宋_GB2312" w:hAnsi="仿宋" w:eastAsia="仿宋_GB2312" w:cs="仿宋"/>
          <w:color w:val="auto"/>
          <w:kern w:val="2"/>
          <w:sz w:val="32"/>
          <w:szCs w:val="32"/>
          <w:lang w:val="en-US" w:eastAsia="zh-CN" w:bidi="ar-SA"/>
        </w:rPr>
        <w:t>)中规定，酿造酱中氨基酸态氮(以氮计)应≥0.3g/100g。《调味料酒》（SB/T 10416-2007）中规定，调味料酒中的氨基酸态氮(以氮计)应≥0.2g/L。氨基酸态氮含量低，不会对人体健康造成直接危害，但代表产品的质量较差。不合格</w:t>
      </w:r>
      <w:r>
        <w:rPr>
          <w:rFonts w:hint="eastAsia" w:ascii="仿宋_GB2312" w:hAnsi="仿宋" w:eastAsia="仿宋_GB2312" w:cs="仿宋"/>
          <w:color w:val="auto"/>
          <w:kern w:val="2"/>
          <w:sz w:val="32"/>
          <w:szCs w:val="32"/>
          <w:lang w:val="zh-CN" w:eastAsia="zh-CN" w:bidi="ar-SA"/>
        </w:rPr>
        <w:t>原因可能是产品未按标准组织生产，或者是产品配方缺陷的问题。</w:t>
      </w:r>
    </w:p>
    <w:p>
      <w:pPr>
        <w:pStyle w:val="9"/>
        <w:shd w:val="clear" w:color="auto" w:fill="FFFFFF"/>
        <w:spacing w:before="0" w:beforeAutospacing="0" w:after="0" w:afterAutospacing="0" w:line="560" w:lineRule="exact"/>
        <w:ind w:firstLine="643" w:firstLineChars="200"/>
        <w:jc w:val="both"/>
        <w:rPr>
          <w:rFonts w:hint="eastAsia" w:ascii="方正楷体_GB2312" w:hAnsi="方正楷体_GB2312" w:eastAsia="方正楷体_GB2312" w:cs="方正楷体_GB2312"/>
          <w:b/>
          <w:bCs w:val="0"/>
          <w:color w:val="auto"/>
          <w:sz w:val="32"/>
          <w:szCs w:val="32"/>
          <w:lang w:val="en-US" w:eastAsia="zh-CN"/>
        </w:rPr>
      </w:pPr>
      <w:r>
        <w:rPr>
          <w:rFonts w:hint="eastAsia" w:ascii="方正楷体_GB2312" w:hAnsi="方正楷体_GB2312" w:eastAsia="方正楷体_GB2312" w:cs="方正楷体_GB2312"/>
          <w:b/>
          <w:bCs w:val="0"/>
          <w:color w:val="auto"/>
          <w:sz w:val="32"/>
          <w:szCs w:val="32"/>
          <w:lang w:val="zh-CN" w:eastAsia="zh-CN"/>
        </w:rPr>
        <w:t>（</w:t>
      </w:r>
      <w:r>
        <w:rPr>
          <w:rFonts w:hint="eastAsia" w:ascii="方正楷体_GB2312" w:hAnsi="方正楷体_GB2312" w:eastAsia="方正楷体_GB2312" w:cs="方正楷体_GB2312"/>
          <w:b/>
          <w:bCs w:val="0"/>
          <w:color w:val="auto"/>
          <w:sz w:val="32"/>
          <w:szCs w:val="32"/>
          <w:lang w:val="en-US" w:eastAsia="zh-CN"/>
        </w:rPr>
        <w:t>八</w:t>
      </w:r>
      <w:r>
        <w:rPr>
          <w:rFonts w:hint="eastAsia" w:ascii="方正楷体_GB2312" w:hAnsi="方正楷体_GB2312" w:eastAsia="方正楷体_GB2312" w:cs="方正楷体_GB2312"/>
          <w:b/>
          <w:bCs w:val="0"/>
          <w:color w:val="auto"/>
          <w:sz w:val="32"/>
          <w:szCs w:val="32"/>
          <w:lang w:val="zh-CN" w:eastAsia="zh-CN"/>
        </w:rPr>
        <w:t>）</w:t>
      </w:r>
      <w:r>
        <w:rPr>
          <w:rFonts w:hint="eastAsia" w:ascii="方正楷体_GB2312" w:hAnsi="方正楷体_GB2312" w:eastAsia="方正楷体_GB2312" w:cs="方正楷体_GB2312"/>
          <w:b/>
          <w:bCs w:val="0"/>
          <w:color w:val="auto"/>
          <w:sz w:val="32"/>
          <w:szCs w:val="32"/>
          <w:lang w:val="en-US" w:eastAsia="zh-CN"/>
        </w:rPr>
        <w:t>二十二碳六烯酸</w:t>
      </w:r>
    </w:p>
    <w:p>
      <w:pPr>
        <w:pStyle w:val="9"/>
        <w:shd w:val="clear" w:color="auto" w:fill="FFFFFF"/>
        <w:spacing w:before="0" w:beforeAutospacing="0" w:after="0" w:afterAutospacing="0" w:line="560" w:lineRule="exact"/>
        <w:ind w:firstLine="640" w:firstLineChars="200"/>
        <w:jc w:val="both"/>
        <w:rPr>
          <w:rFonts w:hint="eastAsia" w:ascii="仿宋_GB2312" w:hAnsi="仿宋" w:eastAsia="仿宋_GB2312" w:cs="Times New Roman"/>
          <w:kern w:val="2"/>
          <w:sz w:val="32"/>
          <w:szCs w:val="32"/>
          <w:lang w:val="en-US" w:eastAsia="zh-CN"/>
        </w:rPr>
      </w:pPr>
      <w:r>
        <w:rPr>
          <w:rFonts w:hint="eastAsia" w:ascii="仿宋_GB2312" w:hAnsi="仿宋" w:eastAsia="仿宋_GB2312" w:cs="Times New Roman"/>
          <w:kern w:val="2"/>
          <w:sz w:val="32"/>
          <w:szCs w:val="32"/>
          <w:lang w:val="en-US" w:eastAsia="zh-CN"/>
        </w:rPr>
        <w:t>二十二碳六烯酸(DHA)，是目前发现的碳链最长、不饱和度最高的ω-3长链高度不饱和脂肪酸，俗称“脑黄金”，是一种对人体非常重要的多不饱和脂肪酸，在婴幼儿配方食品方面，二十二碳六烯酸作为一种营养强化剂，被各国批准用于婴幼儿配方食品。《食品安全国家标准 辅食营养补充品》（GB 22570-2014）中规定，6～12月龄食用的辅食营养补充剂中二十二碳六烯酸每日份含量应在（30～90）mg，且《食品安全国家标准 预包装特殊膳食用食品标签》（GB 13432-2013）中规定，在产品保质期内，能量和营养成分的实际含量不应低于标示值的80%，并应符合相应产品标准的要求。营养素补充剂</w:t>
      </w:r>
      <w:r>
        <w:rPr>
          <w:rFonts w:hint="eastAsia" w:ascii="仿宋_GB2312" w:hAnsi="仿宋" w:eastAsia="仿宋_GB2312" w:cs="Times New Roman"/>
          <w:color w:val="000000" w:themeColor="text1"/>
          <w:kern w:val="2"/>
          <w:sz w:val="32"/>
          <w:szCs w:val="32"/>
          <w:lang w:val="en-US" w:eastAsia="zh-CN"/>
          <w14:textFill>
            <w14:solidFill>
              <w14:schemeClr w14:val="tx1"/>
            </w14:solidFill>
          </w14:textFill>
        </w:rPr>
        <w:t>中</w:t>
      </w:r>
      <w:r>
        <w:rPr>
          <w:rFonts w:hint="eastAsia" w:ascii="仿宋_GB2312" w:hAnsi="仿宋" w:eastAsia="仿宋_GB2312" w:cs="Times New Roman"/>
          <w:kern w:val="2"/>
          <w:sz w:val="32"/>
          <w:szCs w:val="32"/>
          <w:lang w:val="en-US" w:eastAsia="zh-CN"/>
        </w:rPr>
        <w:t>营养素含量达不到标准要求，说明该产品在质量上存在缺陷，可能达不到宣称的保健功能或保健功能不足。</w:t>
      </w:r>
    </w:p>
    <w:p>
      <w:pPr>
        <w:spacing w:line="560" w:lineRule="exact"/>
        <w:ind w:firstLine="643" w:firstLineChars="200"/>
        <w:rPr>
          <w:rFonts w:hint="eastAsia" w:ascii="方正楷体_GB2312" w:hAnsi="方正楷体_GB2312" w:eastAsia="方正楷体_GB2312" w:cs="方正楷体_GB2312"/>
          <w:b/>
          <w:sz w:val="32"/>
          <w:szCs w:val="32"/>
        </w:rPr>
      </w:pPr>
      <w:r>
        <w:rPr>
          <w:rFonts w:hint="eastAsia" w:ascii="方正楷体_GB2312" w:hAnsi="方正楷体_GB2312" w:eastAsia="方正楷体_GB2312" w:cs="方正楷体_GB2312"/>
          <w:b/>
          <w:color w:val="000000"/>
          <w:kern w:val="0"/>
          <w:sz w:val="32"/>
          <w:szCs w:val="32"/>
          <w:lang w:val="en-US" w:eastAsia="zh-CN"/>
        </w:rPr>
        <w:t>（九）</w:t>
      </w:r>
      <w:r>
        <w:rPr>
          <w:rFonts w:hint="eastAsia" w:ascii="方正楷体_GB2312" w:hAnsi="方正楷体_GB2312" w:eastAsia="方正楷体_GB2312" w:cs="方正楷体_GB2312"/>
          <w:b/>
          <w:color w:val="000000"/>
          <w:kern w:val="0"/>
          <w:sz w:val="32"/>
          <w:szCs w:val="32"/>
        </w:rPr>
        <w:t>防腐剂混合使用时各自用量占其最大使用量的比例之和</w:t>
      </w:r>
    </w:p>
    <w:p>
      <w:pPr>
        <w:pStyle w:val="9"/>
        <w:shd w:val="clear" w:color="auto" w:fill="FFFFFF"/>
        <w:spacing w:before="0" w:beforeAutospacing="0" w:after="0" w:afterAutospacing="0" w:line="560" w:lineRule="exact"/>
        <w:ind w:firstLine="640" w:firstLineChars="200"/>
        <w:jc w:val="both"/>
        <w:rPr>
          <w:rFonts w:hint="eastAsia" w:ascii="仿宋_GB2312" w:hAnsi="仿宋" w:eastAsia="仿宋_GB2312" w:cs="Times New Roman"/>
          <w:kern w:val="2"/>
          <w:sz w:val="32"/>
          <w:szCs w:val="32"/>
          <w:lang w:val="en-US" w:eastAsia="zh-CN"/>
        </w:rPr>
      </w:pPr>
      <w:r>
        <w:rPr>
          <w:rFonts w:hint="eastAsia" w:ascii="仿宋_GB2312" w:hAnsi="仿宋" w:eastAsia="仿宋_GB2312" w:cs="Times New Roman"/>
          <w:kern w:val="2"/>
          <w:sz w:val="32"/>
          <w:szCs w:val="32"/>
          <w:lang w:val="en-US" w:eastAsia="zh-CN"/>
        </w:rPr>
        <w:t>防腐剂是以保持食品原有品质和营养价值为目的的食品添加剂，它能抑制微生物的生长繁殖，防止食品腐败变质从而延长保质期。《食品安全国家标准 食品添加剂使用标准》（GB 2760-2014）不仅规定了我国在食品中允许添加的某一添加剂的种类、使用量或残留量，而且规定了同一功能的食品添加剂（相同色泽着色剂、防腐剂、抗氧化剂）在混合使用时，各自用量占其最大使用量的比例之和不应超过1。我国允许使用的食品防腐剂为低毒、安全性较高的品种，但长期过量摄入可能会对人体健康造成一定的损害。</w:t>
      </w:r>
    </w:p>
    <w:p>
      <w:pPr>
        <w:widowControl/>
        <w:jc w:val="left"/>
        <w:rPr>
          <w:rFonts w:hint="eastAsia" w:ascii="方正楷体_GB2312" w:hAnsi="方正楷体_GB2312" w:eastAsia="方正楷体_GB2312" w:cs="方正楷体_GB2312"/>
          <w:b/>
          <w:kern w:val="0"/>
          <w:sz w:val="32"/>
          <w:szCs w:val="32"/>
        </w:rPr>
      </w:pPr>
      <w:r>
        <w:rPr>
          <w:rFonts w:hint="eastAsia" w:ascii="方正楷体_GB2312" w:hAnsi="方正楷体_GB2312" w:eastAsia="方正楷体_GB2312" w:cs="方正楷体_GB2312"/>
          <w:b/>
          <w:kern w:val="0"/>
          <w:sz w:val="32"/>
          <w:szCs w:val="32"/>
        </w:rPr>
        <w:t>（</w:t>
      </w:r>
      <w:r>
        <w:rPr>
          <w:rFonts w:hint="eastAsia" w:ascii="方正楷体_GB2312" w:hAnsi="方正楷体_GB2312" w:eastAsia="方正楷体_GB2312" w:cs="方正楷体_GB2312"/>
          <w:b/>
          <w:kern w:val="0"/>
          <w:sz w:val="32"/>
          <w:szCs w:val="32"/>
          <w:lang w:val="en-US" w:eastAsia="zh-CN"/>
        </w:rPr>
        <w:t>十</w:t>
      </w:r>
      <w:r>
        <w:rPr>
          <w:rFonts w:hint="eastAsia" w:ascii="方正楷体_GB2312" w:hAnsi="方正楷体_GB2312" w:eastAsia="方正楷体_GB2312" w:cs="方正楷体_GB2312"/>
          <w:b/>
          <w:kern w:val="0"/>
          <w:sz w:val="32"/>
          <w:szCs w:val="32"/>
        </w:rPr>
        <w:t>）还原糖分</w:t>
      </w:r>
    </w:p>
    <w:p>
      <w:pPr>
        <w:pStyle w:val="9"/>
        <w:shd w:val="clear" w:color="auto" w:fill="FFFFFF"/>
        <w:spacing w:before="0" w:beforeAutospacing="0" w:after="0" w:afterAutospacing="0" w:line="560" w:lineRule="exact"/>
        <w:ind w:firstLine="640" w:firstLineChars="200"/>
        <w:jc w:val="both"/>
        <w:rPr>
          <w:rFonts w:hint="eastAsia" w:ascii="仿宋_GB2312" w:hAnsi="仿宋" w:eastAsia="仿宋_GB2312" w:cs="Times New Roman"/>
          <w:kern w:val="2"/>
          <w:sz w:val="32"/>
          <w:szCs w:val="32"/>
          <w:lang w:val="en-US" w:eastAsia="zh-CN"/>
        </w:rPr>
      </w:pPr>
      <w:r>
        <w:rPr>
          <w:rFonts w:hint="eastAsia" w:ascii="仿宋_GB2312" w:hAnsi="仿宋" w:eastAsia="仿宋_GB2312" w:cs="Times New Roman"/>
          <w:kern w:val="2"/>
          <w:sz w:val="32"/>
          <w:szCs w:val="32"/>
          <w:lang w:val="en-US" w:eastAsia="zh-CN"/>
        </w:rPr>
        <w:t>还原糖分是食糖的质量指标之一，反映了食糖中还原糖的含量，还原糖含量会影响食糖的口感、外观等。《冰糖》（GB/T 35883-2018）中规定，二级冰糖中的还原糖分应≤0.12g/100g。还原糖分高的食糖易吸潮，易滋生微生物，导致食糖变质，不利于保存。</w:t>
      </w:r>
    </w:p>
    <w:p>
      <w:pPr>
        <w:widowControl/>
        <w:jc w:val="left"/>
        <w:rPr>
          <w:rFonts w:hint="eastAsia" w:ascii="方正楷体_GB2312" w:hAnsi="方正楷体_GB2312" w:eastAsia="方正楷体_GB2312" w:cs="方正楷体_GB2312"/>
          <w:b/>
          <w:color w:val="auto"/>
          <w:kern w:val="0"/>
          <w:sz w:val="32"/>
          <w:szCs w:val="32"/>
        </w:rPr>
      </w:pPr>
      <w:r>
        <w:rPr>
          <w:rFonts w:hint="eastAsia" w:ascii="方正楷体_GB2312" w:hAnsi="方正楷体_GB2312" w:eastAsia="方正楷体_GB2312" w:cs="方正楷体_GB2312"/>
          <w:b/>
          <w:color w:val="auto"/>
          <w:kern w:val="0"/>
          <w:sz w:val="32"/>
          <w:szCs w:val="32"/>
          <w:lang w:eastAsia="zh-CN"/>
        </w:rPr>
        <w:t>（</w:t>
      </w:r>
      <w:r>
        <w:rPr>
          <w:rFonts w:hint="eastAsia" w:ascii="方正楷体_GB2312" w:hAnsi="方正楷体_GB2312" w:eastAsia="方正楷体_GB2312" w:cs="方正楷体_GB2312"/>
          <w:b/>
          <w:color w:val="auto"/>
          <w:kern w:val="0"/>
          <w:sz w:val="32"/>
          <w:szCs w:val="32"/>
          <w:lang w:val="en-US" w:eastAsia="zh-CN"/>
        </w:rPr>
        <w:t>十一</w:t>
      </w:r>
      <w:r>
        <w:rPr>
          <w:rFonts w:hint="eastAsia" w:ascii="方正楷体_GB2312" w:hAnsi="方正楷体_GB2312" w:eastAsia="方正楷体_GB2312" w:cs="方正楷体_GB2312"/>
          <w:b/>
          <w:color w:val="auto"/>
          <w:kern w:val="0"/>
          <w:sz w:val="32"/>
          <w:szCs w:val="32"/>
          <w:lang w:eastAsia="zh-CN"/>
        </w:rPr>
        <w:t>）</w:t>
      </w:r>
      <w:r>
        <w:rPr>
          <w:rFonts w:hint="eastAsia" w:ascii="方正楷体_GB2312" w:hAnsi="方正楷体_GB2312" w:eastAsia="方正楷体_GB2312" w:cs="方正楷体_GB2312"/>
          <w:b/>
          <w:color w:val="auto"/>
          <w:kern w:val="0"/>
          <w:sz w:val="32"/>
          <w:szCs w:val="32"/>
        </w:rPr>
        <w:t>山梨酸及其钾盐（以山梨酸计）</w:t>
      </w:r>
    </w:p>
    <w:p>
      <w:pPr>
        <w:pStyle w:val="9"/>
        <w:shd w:val="clear" w:color="auto" w:fill="FFFFFF"/>
        <w:spacing w:before="0" w:beforeAutospacing="0" w:after="0" w:afterAutospacing="0" w:line="560" w:lineRule="exact"/>
        <w:ind w:firstLine="640" w:firstLineChars="200"/>
        <w:jc w:val="both"/>
        <w:rPr>
          <w:rFonts w:hint="eastAsia" w:ascii="仿宋_GB2312" w:hAnsi="仿宋" w:eastAsia="仿宋_GB2312" w:cs="仿宋"/>
          <w:color w:val="auto"/>
          <w:kern w:val="2"/>
          <w:sz w:val="32"/>
          <w:szCs w:val="32"/>
          <w:lang w:val="zh-CN" w:eastAsia="zh-CN" w:bidi="ar-SA"/>
        </w:rPr>
      </w:pPr>
      <w:r>
        <w:rPr>
          <w:rFonts w:hint="eastAsia" w:ascii="仿宋_GB2312" w:hAnsi="仿宋" w:eastAsia="仿宋_GB2312" w:cs="仿宋"/>
          <w:color w:val="auto"/>
          <w:kern w:val="2"/>
          <w:sz w:val="32"/>
          <w:szCs w:val="32"/>
          <w:lang w:val="zh-CN" w:eastAsia="zh-CN" w:bidi="ar-SA"/>
        </w:rPr>
        <w:t>山梨酸及其钾盐是一种酸性防腐剂，具有较好的抑菌效果和防霉性能，对霉菌、酵母菌和好氧性细菌的生长发育均有抑制作用。</w:t>
      </w:r>
      <w:r>
        <w:rPr>
          <w:rFonts w:hint="eastAsia" w:ascii="仿宋_GB2312" w:hAnsi="仿宋" w:eastAsia="仿宋_GB2312" w:cs="仿宋"/>
          <w:color w:val="auto"/>
          <w:kern w:val="2"/>
          <w:sz w:val="32"/>
          <w:szCs w:val="32"/>
          <w:highlight w:val="none"/>
          <w:lang w:val="en-US" w:eastAsia="zh-CN" w:bidi="ar-SA"/>
        </w:rPr>
        <w:t>本次不合格样品标签明示“本产品在生产过程中，0%添加防腐剂”，</w:t>
      </w:r>
      <w:bookmarkStart w:id="0" w:name="_GoBack"/>
      <w:r>
        <w:rPr>
          <w:rFonts w:hint="eastAsia" w:ascii="仿宋_GB2312" w:hAnsi="仿宋" w:eastAsia="仿宋_GB2312" w:cs="仿宋"/>
          <w:color w:val="000000" w:themeColor="text1"/>
          <w:kern w:val="2"/>
          <w:sz w:val="32"/>
          <w:szCs w:val="32"/>
          <w:highlight w:val="none"/>
          <w:lang w:val="en-US" w:eastAsia="zh-CN" w:bidi="ar-SA"/>
          <w14:textFill>
            <w14:solidFill>
              <w14:schemeClr w14:val="tx1"/>
            </w14:solidFill>
          </w14:textFill>
        </w:rPr>
        <w:t>但产品检出一定量的山梨酸，</w:t>
      </w:r>
      <w:r>
        <w:rPr>
          <w:rFonts w:hint="eastAsia" w:ascii="仿宋_GB2312" w:hAnsi="仿宋" w:eastAsia="仿宋_GB2312" w:cs="仿宋"/>
          <w:color w:val="000000" w:themeColor="text1"/>
          <w:kern w:val="2"/>
          <w:sz w:val="32"/>
          <w:szCs w:val="32"/>
          <w:lang w:val="zh-CN" w:eastAsia="zh-CN" w:bidi="ar-SA"/>
          <w14:textFill>
            <w14:solidFill>
              <w14:schemeClr w14:val="tx1"/>
            </w14:solidFill>
          </w14:textFill>
        </w:rPr>
        <w:t>易对消费者造成误导</w:t>
      </w:r>
      <w:r>
        <w:rPr>
          <w:rFonts w:hint="eastAsia" w:ascii="仿宋_GB2312" w:hAnsi="仿宋" w:eastAsia="仿宋_GB2312" w:cs="仿宋"/>
          <w:color w:val="000000" w:themeColor="text1"/>
          <w:kern w:val="2"/>
          <w:sz w:val="32"/>
          <w:szCs w:val="32"/>
          <w:lang w:val="en-US" w:eastAsia="zh-CN" w:bidi="ar-SA"/>
          <w14:textFill>
            <w14:solidFill>
              <w14:schemeClr w14:val="tx1"/>
            </w14:solidFill>
          </w14:textFill>
        </w:rPr>
        <w:t>。</w:t>
      </w:r>
      <w:r>
        <w:rPr>
          <w:rFonts w:hint="eastAsia" w:ascii="仿宋_GB2312" w:hAnsi="仿宋" w:eastAsia="仿宋_GB2312" w:cs="仿宋"/>
          <w:color w:val="000000" w:themeColor="text1"/>
          <w:kern w:val="2"/>
          <w:sz w:val="32"/>
          <w:szCs w:val="32"/>
          <w:lang w:val="zh-CN" w:eastAsia="zh-CN" w:bidi="ar-SA"/>
          <w14:textFill>
            <w14:solidFill>
              <w14:schemeClr w14:val="tx1"/>
            </w14:solidFill>
          </w14:textFill>
        </w:rPr>
        <w:t>山梨酸</w:t>
      </w:r>
      <w:bookmarkEnd w:id="0"/>
      <w:r>
        <w:rPr>
          <w:rFonts w:hint="eastAsia" w:ascii="仿宋_GB2312" w:hAnsi="仿宋" w:eastAsia="仿宋_GB2312" w:cs="仿宋"/>
          <w:color w:val="auto"/>
          <w:kern w:val="2"/>
          <w:sz w:val="32"/>
          <w:szCs w:val="32"/>
          <w:lang w:val="zh-CN" w:eastAsia="zh-CN" w:bidi="ar-SA"/>
        </w:rPr>
        <w:t>及其钾盐是一种相对无毒的食品添加剂，在生物体内可被代谢为二氧化碳和水排出体外。但如果长期食用山梨酸及其钾盐超标的食品，可能会对人体的骨骼生长、肾脏、肝脏健康造成一定影响。</w:t>
      </w:r>
    </w:p>
    <w:p>
      <w:pPr>
        <w:spacing w:line="560" w:lineRule="exact"/>
        <w:ind w:firstLine="643" w:firstLineChars="200"/>
        <w:rPr>
          <w:rFonts w:hint="eastAsia" w:ascii="方正楷体_GB2312" w:hAnsi="方正楷体_GB2312" w:eastAsia="方正楷体_GB2312" w:cs="方正楷体_GB2312"/>
          <w:b/>
          <w:sz w:val="32"/>
          <w:szCs w:val="32"/>
        </w:rPr>
      </w:pPr>
      <w:r>
        <w:rPr>
          <w:rFonts w:hint="eastAsia" w:ascii="方正楷体_GB2312" w:hAnsi="方正楷体_GB2312" w:eastAsia="方正楷体_GB2312" w:cs="方正楷体_GB2312"/>
          <w:b/>
          <w:color w:val="000000"/>
          <w:sz w:val="32"/>
          <w:szCs w:val="32"/>
        </w:rPr>
        <w:t>（</w:t>
      </w:r>
      <w:r>
        <w:rPr>
          <w:rFonts w:hint="eastAsia" w:ascii="方正楷体_GB2312" w:hAnsi="方正楷体_GB2312" w:eastAsia="方正楷体_GB2312" w:cs="方正楷体_GB2312"/>
          <w:b/>
          <w:color w:val="000000"/>
          <w:sz w:val="32"/>
          <w:szCs w:val="32"/>
          <w:lang w:val="en-US" w:eastAsia="zh-CN"/>
        </w:rPr>
        <w:t>十二</w:t>
      </w:r>
      <w:r>
        <w:rPr>
          <w:rFonts w:hint="eastAsia" w:ascii="方正楷体_GB2312" w:hAnsi="方正楷体_GB2312" w:eastAsia="方正楷体_GB2312" w:cs="方正楷体_GB2312"/>
          <w:b/>
          <w:color w:val="000000"/>
          <w:sz w:val="32"/>
          <w:szCs w:val="32"/>
        </w:rPr>
        <w:t>）</w:t>
      </w:r>
      <w:r>
        <w:rPr>
          <w:rFonts w:hint="eastAsia" w:ascii="方正楷体_GB2312" w:hAnsi="方正楷体_GB2312" w:eastAsia="方正楷体_GB2312" w:cs="方正楷体_GB2312"/>
          <w:b/>
          <w:sz w:val="32"/>
          <w:szCs w:val="32"/>
        </w:rPr>
        <w:t>糖精钠</w:t>
      </w:r>
    </w:p>
    <w:p>
      <w:pPr>
        <w:pStyle w:val="9"/>
        <w:shd w:val="clear" w:color="auto" w:fill="FFFFFF"/>
        <w:spacing w:before="0" w:beforeAutospacing="0" w:after="0" w:afterAutospacing="0" w:line="560" w:lineRule="exact"/>
        <w:ind w:firstLine="640" w:firstLineChars="200"/>
        <w:jc w:val="both"/>
        <w:rPr>
          <w:rFonts w:hint="eastAsia" w:ascii="仿宋_GB2312" w:hAnsi="仿宋" w:eastAsia="仿宋_GB2312" w:cs="Times New Roman"/>
          <w:kern w:val="2"/>
          <w:sz w:val="32"/>
          <w:szCs w:val="32"/>
          <w:lang w:val="zh-CN" w:eastAsia="zh-CN"/>
        </w:rPr>
      </w:pPr>
      <w:r>
        <w:rPr>
          <w:rFonts w:hint="eastAsia" w:ascii="仿宋_GB2312" w:hAnsi="仿宋" w:eastAsia="仿宋_GB2312" w:cs="Times New Roman"/>
          <w:kern w:val="2"/>
          <w:sz w:val="32"/>
          <w:szCs w:val="32"/>
          <w:lang w:val="zh-CN" w:eastAsia="zh-CN"/>
        </w:rPr>
        <w:t>糖精钠的甜度约为蔗糖的450～550倍，故其十万分之一的水溶液即有甜味感，浓度高了以后还会出现苦味。《食品安全国家标准 食品添加剂使用标准》（GB 2760-2014）中规定，</w:t>
      </w:r>
      <w:r>
        <w:rPr>
          <w:rFonts w:hint="eastAsia" w:ascii="仿宋_GB2312" w:hAnsi="仿宋" w:eastAsia="仿宋_GB2312" w:cs="Times New Roman"/>
          <w:kern w:val="2"/>
          <w:sz w:val="32"/>
          <w:szCs w:val="32"/>
          <w:lang w:val="en-US" w:eastAsia="zh-CN"/>
        </w:rPr>
        <w:t>发酵面制品</w:t>
      </w:r>
      <w:r>
        <w:rPr>
          <w:rFonts w:hint="eastAsia" w:ascii="仿宋_GB2312" w:hAnsi="仿宋" w:eastAsia="仿宋_GB2312" w:cs="Times New Roman"/>
          <w:kern w:val="2"/>
          <w:sz w:val="32"/>
          <w:szCs w:val="32"/>
          <w:lang w:val="zh-CN" w:eastAsia="zh-CN"/>
        </w:rPr>
        <w:t>（自制）中不得使用糖精钠。糖精钠是有机化工合成产品，除了在味觉上引起甜的感觉外，对人体无任何营养价值。相反，当人体食用较多的糖精钠时，会影响肠胃消化酶的正常分泌，降低小肠的吸收能力，使食欲减退。</w:t>
      </w:r>
    </w:p>
    <w:p>
      <w:pPr>
        <w:spacing w:line="560" w:lineRule="exact"/>
        <w:ind w:firstLine="643" w:firstLineChars="200"/>
        <w:rPr>
          <w:rFonts w:hint="eastAsia" w:ascii="方正楷体_GB2312" w:hAnsi="方正楷体_GB2312" w:eastAsia="方正楷体_GB2312" w:cs="方正楷体_GB2312"/>
          <w:b/>
          <w:sz w:val="32"/>
          <w:szCs w:val="32"/>
          <w:shd w:val="clear" w:color="auto" w:fill="FFFFFF"/>
        </w:rPr>
      </w:pPr>
      <w:r>
        <w:rPr>
          <w:rFonts w:hint="eastAsia" w:ascii="方正楷体_GB2312" w:hAnsi="方正楷体_GB2312" w:eastAsia="方正楷体_GB2312" w:cs="方正楷体_GB2312"/>
          <w:b/>
          <w:sz w:val="32"/>
          <w:szCs w:val="32"/>
          <w:shd w:val="clear" w:color="auto" w:fill="FFFFFF"/>
        </w:rPr>
        <w:t>（十三）毒死蜱</w:t>
      </w:r>
    </w:p>
    <w:p>
      <w:pPr>
        <w:pStyle w:val="9"/>
        <w:shd w:val="clear" w:color="auto" w:fill="FFFFFF"/>
        <w:spacing w:before="0" w:beforeAutospacing="0" w:after="0" w:afterAutospacing="0" w:line="560" w:lineRule="exact"/>
        <w:ind w:firstLine="640" w:firstLineChars="200"/>
        <w:jc w:val="both"/>
        <w:rPr>
          <w:rFonts w:hint="eastAsia" w:ascii="仿宋_GB2312" w:hAnsi="仿宋" w:eastAsia="仿宋_GB2312" w:cs="Times New Roman"/>
          <w:kern w:val="2"/>
          <w:sz w:val="32"/>
          <w:szCs w:val="32"/>
          <w:lang w:val="zh-CN" w:eastAsia="zh-CN"/>
        </w:rPr>
      </w:pPr>
      <w:r>
        <w:rPr>
          <w:rFonts w:hint="eastAsia" w:ascii="仿宋_GB2312" w:hAnsi="仿宋" w:eastAsia="仿宋_GB2312" w:cs="Times New Roman"/>
          <w:kern w:val="2"/>
          <w:sz w:val="32"/>
          <w:szCs w:val="32"/>
          <w:lang w:val="zh-CN" w:eastAsia="zh-CN"/>
        </w:rPr>
        <w:t>毒死蜱是一种具有触杀、胃毒和熏蒸作用的有机磷杀虫剂。《食品安全国家标准 食品中农药最大残留限量》（GB 2763-20</w:t>
      </w:r>
      <w:r>
        <w:rPr>
          <w:rFonts w:hint="eastAsia" w:ascii="仿宋_GB2312" w:hAnsi="仿宋" w:eastAsia="仿宋_GB2312" w:cs="Times New Roman"/>
          <w:kern w:val="2"/>
          <w:sz w:val="32"/>
          <w:szCs w:val="32"/>
          <w:lang w:val="en-US" w:eastAsia="zh-CN"/>
        </w:rPr>
        <w:t>21</w:t>
      </w:r>
      <w:r>
        <w:rPr>
          <w:rFonts w:hint="eastAsia" w:ascii="仿宋_GB2312" w:hAnsi="仿宋" w:eastAsia="仿宋_GB2312" w:cs="Times New Roman"/>
          <w:kern w:val="2"/>
          <w:sz w:val="32"/>
          <w:szCs w:val="32"/>
          <w:lang w:val="zh-CN" w:eastAsia="zh-CN"/>
        </w:rPr>
        <w:t>）中规定，芹菜的毒死蜱残留限量值≤0.</w:t>
      </w:r>
      <w:r>
        <w:rPr>
          <w:rFonts w:hint="eastAsia" w:ascii="仿宋_GB2312" w:hAnsi="仿宋" w:eastAsia="仿宋_GB2312" w:cs="Times New Roman"/>
          <w:kern w:val="2"/>
          <w:sz w:val="32"/>
          <w:szCs w:val="32"/>
          <w:lang w:val="en-US" w:eastAsia="zh-CN"/>
        </w:rPr>
        <w:t>05</w:t>
      </w:r>
      <w:r>
        <w:rPr>
          <w:rFonts w:hint="eastAsia" w:ascii="仿宋_GB2312" w:hAnsi="仿宋" w:eastAsia="仿宋_GB2312" w:cs="Times New Roman"/>
          <w:kern w:val="2"/>
          <w:sz w:val="32"/>
          <w:szCs w:val="32"/>
          <w:lang w:val="zh-CN" w:eastAsia="zh-CN"/>
        </w:rPr>
        <w:t>mg/kg。毒死蜱属中毒农药，在叶片上残留期一般为5至7天，在土壤中残留期较长，对鱼类及水生生物毒性较高，对蜜蜂有毒。长期暴露在含有毒死蜱的环境中，可能会导致神经毒性、生殖毒性，并会影响胚胎的生长发育。</w:t>
      </w:r>
    </w:p>
    <w:p>
      <w:pPr>
        <w:spacing w:line="560" w:lineRule="exact"/>
        <w:ind w:firstLine="643" w:firstLineChars="200"/>
        <w:rPr>
          <w:rFonts w:hint="eastAsia" w:ascii="方正楷体_GB2312" w:hAnsi="方正楷体_GB2312" w:eastAsia="方正楷体_GB2312" w:cs="方正楷体_GB2312"/>
          <w:b/>
          <w:sz w:val="32"/>
          <w:szCs w:val="32"/>
          <w:shd w:val="clear" w:color="auto" w:fill="FFFFFF"/>
        </w:rPr>
      </w:pPr>
      <w:r>
        <w:rPr>
          <w:rFonts w:hint="eastAsia" w:ascii="方正楷体_GB2312" w:hAnsi="方正楷体_GB2312" w:eastAsia="方正楷体_GB2312" w:cs="方正楷体_GB2312"/>
          <w:b/>
          <w:sz w:val="32"/>
          <w:szCs w:val="32"/>
          <w:shd w:val="clear" w:color="auto" w:fill="FFFFFF"/>
        </w:rPr>
        <w:t>（</w:t>
      </w:r>
      <w:r>
        <w:rPr>
          <w:rFonts w:hint="eastAsia" w:ascii="方正楷体_GB2312" w:hAnsi="方正楷体_GB2312" w:eastAsia="方正楷体_GB2312" w:cs="方正楷体_GB2312"/>
          <w:b/>
          <w:sz w:val="32"/>
          <w:szCs w:val="32"/>
          <w:shd w:val="clear" w:color="auto" w:fill="FFFFFF"/>
          <w:lang w:val="en-US" w:eastAsia="zh-CN"/>
        </w:rPr>
        <w:t>十四</w:t>
      </w:r>
      <w:r>
        <w:rPr>
          <w:rFonts w:hint="eastAsia" w:ascii="方正楷体_GB2312" w:hAnsi="方正楷体_GB2312" w:eastAsia="方正楷体_GB2312" w:cs="方正楷体_GB2312"/>
          <w:b/>
          <w:sz w:val="32"/>
          <w:szCs w:val="32"/>
          <w:shd w:val="clear" w:color="auto" w:fill="FFFFFF"/>
        </w:rPr>
        <w:t>）氟苯尼考</w:t>
      </w:r>
    </w:p>
    <w:p>
      <w:pPr>
        <w:spacing w:line="560" w:lineRule="exact"/>
        <w:ind w:firstLine="645"/>
        <w:rPr>
          <w:rFonts w:hint="eastAsia" w:ascii="仿宋_GB2312" w:hAnsi="仿宋" w:eastAsia="仿宋_GB2312" w:cs="Arial"/>
          <w:sz w:val="32"/>
          <w:szCs w:val="32"/>
          <w:shd w:val="clear" w:color="auto" w:fill="FFFFFF"/>
        </w:rPr>
      </w:pPr>
      <w:r>
        <w:rPr>
          <w:rFonts w:hint="eastAsia" w:ascii="仿宋_GB2312" w:hAnsi="仿宋" w:eastAsia="仿宋_GB2312" w:cs="Arial"/>
          <w:sz w:val="32"/>
          <w:szCs w:val="32"/>
          <w:shd w:val="clear" w:color="auto" w:fill="FFFFFF"/>
        </w:rPr>
        <w:t>氟苯尼考又称氟甲砜霉素，是农业部批准使用的动物专用抗菌药，主要用于敏感细菌所致的猪、鸡、鱼的细菌性疾病。《食品安全国家标准 食品中兽药最大残留限量》（GB 31650-2019）中</w:t>
      </w:r>
      <w:r>
        <w:rPr>
          <w:rFonts w:hint="eastAsia" w:ascii="仿宋_GB2312" w:hAnsi="仿宋" w:eastAsia="仿宋_GB2312" w:cs="Arial"/>
          <w:color w:val="auto"/>
          <w:sz w:val="32"/>
          <w:szCs w:val="32"/>
          <w:shd w:val="clear" w:color="auto" w:fill="FFFFFF"/>
        </w:rPr>
        <w:t>规定，氟苯尼考可用于猪、牛、羊、禽、鱼等，但在产蛋期家禽中禁用（鸡蛋不</w:t>
      </w:r>
      <w:r>
        <w:rPr>
          <w:rFonts w:hint="eastAsia" w:ascii="仿宋_GB2312" w:hAnsi="仿宋" w:eastAsia="仿宋_GB2312" w:cs="Arial"/>
          <w:sz w:val="32"/>
          <w:szCs w:val="32"/>
          <w:shd w:val="clear" w:color="auto" w:fill="FFFFFF"/>
        </w:rPr>
        <w:t>得检出）。正常情况下消费者不必对禽蛋中检出氟苯尼考过于担心，但长期食用氟苯尼考残留超标的蛋品，对人体健康有一定风险。</w:t>
      </w:r>
    </w:p>
    <w:p>
      <w:pPr>
        <w:spacing w:line="560" w:lineRule="exact"/>
        <w:ind w:left="0" w:leftChars="0" w:firstLine="643" w:firstLineChars="200"/>
        <w:rPr>
          <w:rFonts w:hint="eastAsia" w:ascii="方正楷体_GB2312" w:hAnsi="方正楷体_GB2312" w:eastAsia="方正楷体_GB2312" w:cs="方正楷体_GB2312"/>
          <w:b/>
          <w:sz w:val="32"/>
          <w:szCs w:val="32"/>
          <w:shd w:val="clear" w:color="auto" w:fill="FFFFFF"/>
        </w:rPr>
      </w:pPr>
      <w:r>
        <w:rPr>
          <w:rFonts w:hint="eastAsia" w:ascii="方正楷体_GB2312" w:hAnsi="方正楷体_GB2312" w:eastAsia="方正楷体_GB2312" w:cs="方正楷体_GB2312"/>
          <w:b/>
          <w:sz w:val="32"/>
          <w:szCs w:val="32"/>
          <w:shd w:val="clear" w:color="auto" w:fill="FFFFFF"/>
        </w:rPr>
        <w:t>（十五）氯氟氰菊酯和高效氯氟氰菊酯</w:t>
      </w:r>
    </w:p>
    <w:p>
      <w:pPr>
        <w:spacing w:line="560" w:lineRule="exact"/>
        <w:ind w:firstLine="645"/>
        <w:rPr>
          <w:rFonts w:hint="eastAsia" w:ascii="仿宋_GB2312" w:hAnsi="仿宋" w:eastAsia="仿宋_GB2312" w:cs="Arial"/>
          <w:sz w:val="32"/>
          <w:szCs w:val="32"/>
          <w:shd w:val="clear" w:color="auto" w:fill="FFFFFF"/>
        </w:rPr>
      </w:pPr>
      <w:r>
        <w:rPr>
          <w:rFonts w:hint="eastAsia" w:ascii="仿宋_GB2312" w:hAnsi="仿宋" w:eastAsia="仿宋_GB2312" w:cs="Arial"/>
          <w:sz w:val="32"/>
          <w:szCs w:val="32"/>
          <w:shd w:val="clear" w:color="auto" w:fill="FFFFFF"/>
        </w:rPr>
        <w:t>氯氟氰菊酯和高效氯氟氰菊酯是一种具有触杀和胃毒作用的拟除虫菊酯类农药。《食品安全国家标准 食品中农药最大残留限量》（GB 2763-20</w:t>
      </w:r>
      <w:r>
        <w:rPr>
          <w:rFonts w:hint="eastAsia" w:ascii="仿宋_GB2312" w:hAnsi="仿宋" w:eastAsia="仿宋_GB2312" w:cs="Arial"/>
          <w:sz w:val="32"/>
          <w:szCs w:val="32"/>
          <w:shd w:val="clear" w:color="auto" w:fill="FFFFFF"/>
          <w:lang w:val="en-US" w:eastAsia="zh-CN"/>
        </w:rPr>
        <w:t>21</w:t>
      </w:r>
      <w:r>
        <w:rPr>
          <w:rFonts w:hint="eastAsia" w:ascii="仿宋_GB2312" w:hAnsi="仿宋" w:eastAsia="仿宋_GB2312" w:cs="Arial"/>
          <w:sz w:val="32"/>
          <w:szCs w:val="32"/>
          <w:shd w:val="clear" w:color="auto" w:fill="FFFFFF"/>
        </w:rPr>
        <w:t>）中规定，</w:t>
      </w:r>
      <w:r>
        <w:rPr>
          <w:rFonts w:hint="eastAsia" w:ascii="仿宋_GB2312" w:hAnsi="仿宋" w:eastAsia="仿宋_GB2312" w:cs="Arial"/>
          <w:sz w:val="32"/>
          <w:szCs w:val="32"/>
          <w:shd w:val="clear" w:color="auto" w:fill="FFFFFF"/>
          <w:lang w:eastAsia="zh-CN"/>
        </w:rPr>
        <w:t>根茎类和薯类</w:t>
      </w:r>
      <w:r>
        <w:rPr>
          <w:rFonts w:hint="eastAsia" w:ascii="仿宋_GB2312" w:hAnsi="仿宋" w:eastAsia="仿宋_GB2312" w:cs="Arial"/>
          <w:sz w:val="32"/>
          <w:szCs w:val="32"/>
          <w:shd w:val="clear" w:color="auto" w:fill="FFFFFF"/>
        </w:rPr>
        <w:t>蔬菜</w:t>
      </w:r>
      <w:r>
        <w:rPr>
          <w:rFonts w:hint="eastAsia" w:ascii="仿宋_GB2312" w:hAnsi="仿宋" w:eastAsia="仿宋_GB2312" w:cs="Arial"/>
          <w:sz w:val="32"/>
          <w:szCs w:val="32"/>
          <w:shd w:val="clear" w:color="auto" w:fill="FFFFFF"/>
          <w:lang w:eastAsia="zh-CN"/>
        </w:rPr>
        <w:t>（马铃薯除外）</w:t>
      </w:r>
      <w:r>
        <w:rPr>
          <w:rFonts w:hint="eastAsia" w:ascii="仿宋_GB2312" w:hAnsi="仿宋" w:eastAsia="仿宋_GB2312" w:cs="Arial"/>
          <w:sz w:val="32"/>
          <w:szCs w:val="32"/>
          <w:shd w:val="clear" w:color="auto" w:fill="FFFFFF"/>
        </w:rPr>
        <w:t>中氯氟氰菊酯和高效氯氟氰菊酯残留限量值应≤0.0</w:t>
      </w:r>
      <w:r>
        <w:rPr>
          <w:rFonts w:hint="eastAsia" w:ascii="仿宋_GB2312" w:hAnsi="仿宋" w:eastAsia="仿宋_GB2312" w:cs="Arial"/>
          <w:sz w:val="32"/>
          <w:szCs w:val="32"/>
          <w:shd w:val="clear" w:color="auto" w:fill="FFFFFF"/>
          <w:lang w:val="en-US" w:eastAsia="zh-CN"/>
        </w:rPr>
        <w:t>1</w:t>
      </w:r>
      <w:r>
        <w:rPr>
          <w:rFonts w:hint="eastAsia" w:ascii="仿宋_GB2312" w:hAnsi="仿宋" w:eastAsia="仿宋_GB2312" w:cs="Arial"/>
          <w:sz w:val="32"/>
          <w:szCs w:val="32"/>
          <w:shd w:val="clear" w:color="auto" w:fill="FFFFFF"/>
        </w:rPr>
        <w:t>mg/kg。氯氟氰菊酯和高效氯氟氰菊酯对皮肤有刺激作用，接触量大时会引起头痛、头昏、恶心、呕吐、双手颤抖等症状。</w:t>
      </w:r>
    </w:p>
    <w:p>
      <w:pPr>
        <w:widowControl/>
        <w:spacing w:line="560" w:lineRule="exact"/>
        <w:ind w:firstLine="643" w:firstLineChars="200"/>
        <w:jc w:val="left"/>
        <w:rPr>
          <w:rFonts w:hint="eastAsia" w:ascii="方正楷体_GB2312" w:hAnsi="方正楷体_GB2312" w:eastAsia="方正楷体_GB2312" w:cs="方正楷体_GB2312"/>
          <w:b/>
          <w:kern w:val="0"/>
          <w:sz w:val="32"/>
          <w:szCs w:val="32"/>
        </w:rPr>
      </w:pPr>
      <w:r>
        <w:rPr>
          <w:rFonts w:hint="eastAsia" w:ascii="方正楷体_GB2312" w:hAnsi="方正楷体_GB2312" w:eastAsia="方正楷体_GB2312" w:cs="方正楷体_GB2312"/>
          <w:b/>
          <w:kern w:val="0"/>
          <w:sz w:val="32"/>
          <w:szCs w:val="32"/>
        </w:rPr>
        <w:t>（</w:t>
      </w:r>
      <w:r>
        <w:rPr>
          <w:rFonts w:hint="eastAsia" w:ascii="方正楷体_GB2312" w:hAnsi="方正楷体_GB2312" w:eastAsia="方正楷体_GB2312" w:cs="方正楷体_GB2312"/>
          <w:b/>
          <w:kern w:val="0"/>
          <w:sz w:val="32"/>
          <w:szCs w:val="32"/>
          <w:lang w:val="en-US" w:eastAsia="zh-CN"/>
        </w:rPr>
        <w:t>十六</w:t>
      </w:r>
      <w:r>
        <w:rPr>
          <w:rFonts w:hint="eastAsia" w:ascii="方正楷体_GB2312" w:hAnsi="方正楷体_GB2312" w:eastAsia="方正楷体_GB2312" w:cs="方正楷体_GB2312"/>
          <w:b/>
          <w:kern w:val="0"/>
          <w:sz w:val="32"/>
          <w:szCs w:val="32"/>
        </w:rPr>
        <w:t>）水分</w:t>
      </w:r>
    </w:p>
    <w:p>
      <w:pPr>
        <w:pStyle w:val="9"/>
        <w:shd w:val="clear" w:color="auto" w:fill="FFFFFF"/>
        <w:spacing w:before="0" w:beforeAutospacing="0" w:after="0" w:afterAutospacing="0" w:line="560" w:lineRule="exact"/>
        <w:ind w:firstLine="640" w:firstLineChars="200"/>
        <w:jc w:val="both"/>
        <w:rPr>
          <w:rFonts w:hint="eastAsia" w:ascii="仿宋_GB2312" w:hAnsi="宋体" w:eastAsia="仿宋_GB2312" w:cs="宋体"/>
          <w:kern w:val="0"/>
          <w:sz w:val="32"/>
          <w:szCs w:val="32"/>
        </w:rPr>
      </w:pPr>
      <w:r>
        <w:rPr>
          <w:rFonts w:hint="eastAsia" w:ascii="仿宋_GB2312" w:hAnsi="宋体" w:eastAsia="仿宋_GB2312" w:cs="宋体"/>
          <w:kern w:val="0"/>
          <w:sz w:val="32"/>
          <w:szCs w:val="32"/>
        </w:rPr>
        <w:t>水分属于理化指标，是食品的一个内在质量因素，各类食品的产品标准常对水分含量有明确的限值要求，水分高低反映产品的含水量。合理的水分控制，可避免产品的功效成分或营养物质分解、酶解变质、霉变等，有助于保持产品质量稳定。《饼干》</w:t>
      </w:r>
      <w:r>
        <w:rPr>
          <w:rFonts w:hint="eastAsia" w:ascii="仿宋_GB2312" w:hAnsi="宋体" w:eastAsia="仿宋_GB2312" w:cs="宋体"/>
          <w:kern w:val="0"/>
          <w:sz w:val="32"/>
          <w:szCs w:val="32"/>
          <w:lang w:eastAsia="zh-CN"/>
        </w:rPr>
        <w:t>（</w:t>
      </w:r>
      <w:r>
        <w:rPr>
          <w:rFonts w:hint="eastAsia" w:ascii="仿宋_GB2312" w:hAnsi="宋体" w:eastAsia="仿宋_GB2312" w:cs="宋体"/>
          <w:kern w:val="0"/>
          <w:sz w:val="32"/>
          <w:szCs w:val="32"/>
        </w:rPr>
        <w:t>GB/T 20980-2007</w:t>
      </w:r>
      <w:r>
        <w:rPr>
          <w:rFonts w:hint="eastAsia" w:ascii="仿宋_GB2312" w:hAnsi="宋体" w:eastAsia="仿宋_GB2312" w:cs="宋体"/>
          <w:kern w:val="0"/>
          <w:sz w:val="32"/>
          <w:szCs w:val="32"/>
          <w:lang w:eastAsia="zh-CN"/>
        </w:rPr>
        <w:t>）</w:t>
      </w:r>
      <w:r>
        <w:rPr>
          <w:rFonts w:hint="eastAsia" w:ascii="仿宋_GB2312" w:hAnsi="宋体" w:eastAsia="仿宋_GB2312" w:cs="宋体"/>
          <w:kern w:val="0"/>
          <w:sz w:val="32"/>
          <w:szCs w:val="32"/>
        </w:rPr>
        <w:t>中规定，</w:t>
      </w:r>
      <w:r>
        <w:rPr>
          <w:rFonts w:hint="eastAsia" w:ascii="仿宋_GB2312" w:eastAsia="仿宋_GB2312" w:cs="宋体"/>
          <w:kern w:val="0"/>
          <w:sz w:val="32"/>
          <w:szCs w:val="32"/>
          <w:lang w:val="en-US" w:eastAsia="zh-CN"/>
        </w:rPr>
        <w:t>饼干中的水分</w:t>
      </w:r>
      <w:r>
        <w:rPr>
          <w:rFonts w:hint="eastAsia" w:ascii="仿宋_GB2312" w:hAnsi="宋体" w:eastAsia="仿宋_GB2312" w:cs="宋体"/>
          <w:kern w:val="0"/>
          <w:sz w:val="32"/>
          <w:szCs w:val="32"/>
        </w:rPr>
        <w:t>应</w:t>
      </w:r>
      <w:r>
        <w:rPr>
          <w:rFonts w:hint="eastAsia" w:ascii="仿宋_GB2312" w:hAnsi="仿宋" w:eastAsia="仿宋_GB2312"/>
          <w:sz w:val="32"/>
          <w:szCs w:val="32"/>
        </w:rPr>
        <w:t>≤</w:t>
      </w:r>
      <w:r>
        <w:rPr>
          <w:rFonts w:hint="eastAsia" w:ascii="仿宋_GB2312" w:hAnsi="仿宋" w:eastAsia="仿宋_GB2312"/>
          <w:sz w:val="32"/>
          <w:szCs w:val="32"/>
          <w:lang w:val="en-US" w:eastAsia="zh-CN"/>
        </w:rPr>
        <w:t>4%</w:t>
      </w:r>
      <w:r>
        <w:rPr>
          <w:rFonts w:hint="eastAsia" w:ascii="仿宋_GB2312" w:hAnsi="仿宋" w:eastAsia="仿宋_GB2312"/>
          <w:sz w:val="32"/>
          <w:szCs w:val="32"/>
        </w:rPr>
        <w:t>。</w:t>
      </w:r>
      <w:r>
        <w:rPr>
          <w:rFonts w:hint="eastAsia" w:ascii="仿宋_GB2312" w:hAnsi="宋体" w:eastAsia="仿宋_GB2312" w:cs="宋体"/>
          <w:kern w:val="0"/>
          <w:sz w:val="32"/>
          <w:szCs w:val="32"/>
        </w:rPr>
        <w:t>食品的水分不合格对人体健康没有重大影响，但是，水分超标会缩短产品的保质期限，使产品易发生霉变，可能引起产品质量的下降。</w:t>
      </w:r>
    </w:p>
    <w:p>
      <w:pPr>
        <w:widowControl/>
        <w:spacing w:line="560" w:lineRule="exact"/>
        <w:ind w:firstLine="643" w:firstLineChars="200"/>
        <w:jc w:val="left"/>
        <w:rPr>
          <w:rFonts w:hint="eastAsia" w:ascii="方正楷体_GB2312" w:hAnsi="方正楷体_GB2312" w:eastAsia="方正楷体_GB2312" w:cs="方正楷体_GB2312"/>
          <w:b/>
          <w:kern w:val="0"/>
          <w:sz w:val="32"/>
          <w:szCs w:val="32"/>
        </w:rPr>
      </w:pPr>
      <w:r>
        <w:rPr>
          <w:rFonts w:hint="eastAsia" w:ascii="方正楷体_GB2312" w:hAnsi="方正楷体_GB2312" w:eastAsia="方正楷体_GB2312" w:cs="方正楷体_GB2312"/>
          <w:b/>
          <w:kern w:val="0"/>
          <w:sz w:val="32"/>
          <w:szCs w:val="32"/>
        </w:rPr>
        <w:t>（十</w:t>
      </w:r>
      <w:r>
        <w:rPr>
          <w:rFonts w:hint="eastAsia" w:ascii="方正楷体_GB2312" w:hAnsi="方正楷体_GB2312" w:eastAsia="方正楷体_GB2312" w:cs="方正楷体_GB2312"/>
          <w:b/>
          <w:kern w:val="0"/>
          <w:sz w:val="32"/>
          <w:szCs w:val="32"/>
          <w:lang w:val="en-US" w:eastAsia="zh-CN"/>
        </w:rPr>
        <w:t>七</w:t>
      </w:r>
      <w:r>
        <w:rPr>
          <w:rFonts w:hint="eastAsia" w:ascii="方正楷体_GB2312" w:hAnsi="方正楷体_GB2312" w:eastAsia="方正楷体_GB2312" w:cs="方正楷体_GB2312"/>
          <w:b/>
          <w:kern w:val="0"/>
          <w:sz w:val="32"/>
          <w:szCs w:val="32"/>
        </w:rPr>
        <w:t>）氧乐果</w:t>
      </w:r>
    </w:p>
    <w:p>
      <w:pPr>
        <w:spacing w:line="560" w:lineRule="exact"/>
        <w:ind w:firstLine="640" w:firstLineChars="200"/>
        <w:rPr>
          <w:rFonts w:hint="eastAsia" w:ascii="仿宋_GB2312" w:hAnsi="宋体" w:eastAsia="仿宋_GB2312" w:cs="宋体"/>
          <w:kern w:val="0"/>
          <w:sz w:val="32"/>
          <w:szCs w:val="32"/>
          <w:lang w:val="en-US" w:eastAsia="zh-CN"/>
        </w:rPr>
      </w:pPr>
      <w:r>
        <w:rPr>
          <w:rFonts w:hint="eastAsia" w:ascii="仿宋_GB2312" w:hAnsi="宋体" w:eastAsia="仿宋_GB2312" w:cs="宋体"/>
          <w:kern w:val="0"/>
          <w:sz w:val="32"/>
          <w:szCs w:val="32"/>
          <w:lang w:val="en-US" w:eastAsia="zh-CN" w:bidi="ar-SA"/>
        </w:rPr>
        <w:t>氧乐果是一种内吸性强，杀虫活性高的杀虫剂。《食品安全国家标准 食品中农药最大残留限量》（GB 2763-2021）中规定，</w:t>
      </w:r>
      <w:r>
        <w:rPr>
          <w:rFonts w:hint="eastAsia" w:ascii="仿宋_GB2312" w:hAnsi="宋体" w:cs="宋体"/>
          <w:kern w:val="0"/>
          <w:sz w:val="32"/>
          <w:szCs w:val="32"/>
          <w:lang w:val="en-US" w:eastAsia="zh-CN" w:bidi="ar-SA"/>
        </w:rPr>
        <w:t>叶菜类</w:t>
      </w:r>
      <w:r>
        <w:rPr>
          <w:rFonts w:hint="eastAsia" w:ascii="仿宋_GB2312" w:hAnsi="宋体" w:eastAsia="仿宋_GB2312" w:cs="宋体"/>
          <w:kern w:val="0"/>
          <w:sz w:val="32"/>
          <w:szCs w:val="32"/>
          <w:lang w:val="en-US" w:eastAsia="zh-CN" w:bidi="ar-SA"/>
        </w:rPr>
        <w:t>蔬菜中氧乐果残留限量值应≤0.02mg/kg。大部分喷洒的氧乐果会逸散在周围的土壤、大气、水体中，造成生态系统的污染，有可能会对环境生物产生潜在危害；蔬菜、水果中残留的氧乐果进入人体后对体内胆碱酯酶有抑制作用，可能会对人体造成各种急慢性毒性，甚至致癌致突变。</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ascii="黑体" w:hAnsi="黑体" w:eastAsia="黑体" w:cs="仿宋_GB2312"/>
          <w:color w:val="auto"/>
          <w:sz w:val="32"/>
          <w:szCs w:val="32"/>
        </w:rPr>
      </w:pPr>
      <w:r>
        <w:rPr>
          <w:rFonts w:hint="eastAsia" w:ascii="黑体" w:hAnsi="黑体" w:eastAsia="黑体" w:cs="仿宋_GB2312"/>
          <w:color w:val="auto"/>
          <w:sz w:val="32"/>
          <w:szCs w:val="32"/>
        </w:rPr>
        <w:t>二、建议</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707" w:firstLineChars="220"/>
        <w:textAlignment w:val="auto"/>
        <w:rPr>
          <w:rFonts w:ascii="楷体_GB2312" w:hAnsi="楷体" w:eastAsia="楷体_GB2312"/>
          <w:b/>
          <w:color w:val="auto"/>
          <w:sz w:val="32"/>
          <w:szCs w:val="32"/>
        </w:rPr>
      </w:pPr>
      <w:r>
        <w:rPr>
          <w:rFonts w:hint="eastAsia" w:ascii="楷体_GB2312" w:hAnsi="楷体" w:eastAsia="楷体_GB2312"/>
          <w:b/>
          <w:color w:val="auto"/>
          <w:sz w:val="32"/>
          <w:szCs w:val="32"/>
        </w:rPr>
        <w:t>（一）加强原辅料的把控</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ascii="仿宋_GB2312" w:hAnsi="仿宋" w:eastAsia="仿宋_GB2312"/>
          <w:color w:val="auto"/>
          <w:sz w:val="32"/>
          <w:szCs w:val="32"/>
        </w:rPr>
      </w:pPr>
      <w:r>
        <w:rPr>
          <w:rFonts w:hint="eastAsia" w:ascii="仿宋_GB2312" w:hAnsi="仿宋" w:eastAsia="仿宋_GB2312"/>
          <w:color w:val="auto"/>
          <w:sz w:val="32"/>
          <w:szCs w:val="32"/>
        </w:rPr>
        <w:t>食品原料的质量与卫生是食品质量安全的前提。食品生产经营单位应加强对所使用的原材料的质量管理，建立进货查验、索证索票和进货台账制度，查验供货者的许可证和包含必要检验项目的食品合格证明文件，不得采购腐败变质、发霉、质量不新鲜的食品原料，确保各种原辅料的质量符合标准的有关规定和要求。</w:t>
      </w:r>
    </w:p>
    <w:p>
      <w:pPr>
        <w:pStyle w:val="9"/>
        <w:keepNext w:val="0"/>
        <w:keepLines w:val="0"/>
        <w:pageBreakBefore w:val="0"/>
        <w:numPr>
          <w:ilvl w:val="0"/>
          <w:numId w:val="1"/>
        </w:numPr>
        <w:shd w:val="clear" w:color="auto" w:fill="FFFFFF"/>
        <w:kinsoku/>
        <w:wordWrap/>
        <w:overflowPunct/>
        <w:topLinePunct w:val="0"/>
        <w:autoSpaceDE/>
        <w:autoSpaceDN/>
        <w:bidi w:val="0"/>
        <w:adjustRightInd/>
        <w:snapToGrid/>
        <w:spacing w:before="0" w:beforeAutospacing="0" w:after="0" w:afterAutospacing="0" w:line="560" w:lineRule="exact"/>
        <w:ind w:left="961" w:leftChars="200" w:hanging="321" w:hangingChars="100"/>
        <w:textAlignment w:val="auto"/>
        <w:rPr>
          <w:rFonts w:hint="eastAsia" w:ascii="楷体_GB2312" w:hAnsi="楷体" w:eastAsia="楷体_GB2312"/>
          <w:b/>
          <w:color w:val="auto"/>
          <w:sz w:val="32"/>
          <w:szCs w:val="32"/>
        </w:rPr>
      </w:pPr>
      <w:r>
        <w:rPr>
          <w:rFonts w:hint="eastAsia" w:ascii="楷体_GB2312" w:hAnsi="楷体" w:eastAsia="楷体_GB2312"/>
          <w:b/>
          <w:color w:val="auto"/>
          <w:sz w:val="32"/>
          <w:szCs w:val="32"/>
        </w:rPr>
        <w:t>加强</w:t>
      </w:r>
      <w:r>
        <w:rPr>
          <w:rFonts w:hint="eastAsia" w:ascii="楷体_GB2312" w:hAnsi="楷体" w:eastAsia="楷体_GB2312"/>
          <w:b/>
          <w:color w:val="auto"/>
          <w:sz w:val="32"/>
          <w:szCs w:val="32"/>
          <w:lang w:eastAsia="zh-CN"/>
        </w:rPr>
        <w:t>运输、存储环境</w:t>
      </w:r>
      <w:r>
        <w:rPr>
          <w:rFonts w:hint="eastAsia" w:ascii="楷体_GB2312" w:hAnsi="楷体" w:eastAsia="楷体_GB2312"/>
          <w:b/>
          <w:color w:val="auto"/>
          <w:sz w:val="32"/>
          <w:szCs w:val="32"/>
        </w:rPr>
        <w:t>控制</w:t>
      </w:r>
    </w:p>
    <w:p>
      <w:pPr>
        <w:pStyle w:val="9"/>
        <w:shd w:val="clear" w:color="auto" w:fill="FFFFFF"/>
        <w:spacing w:before="0" w:beforeAutospacing="0" w:after="0" w:afterAutospacing="0" w:line="560" w:lineRule="exact"/>
        <w:ind w:firstLine="640" w:firstLineChars="200"/>
        <w:rPr>
          <w:rFonts w:hint="eastAsia" w:ascii="仿宋_GB2312" w:hAnsi="仿宋" w:eastAsia="仿宋_GB2312"/>
          <w:color w:val="auto"/>
          <w:sz w:val="32"/>
          <w:szCs w:val="32"/>
        </w:rPr>
      </w:pPr>
      <w:r>
        <w:rPr>
          <w:rFonts w:hint="eastAsia" w:ascii="仿宋_GB2312" w:hAnsi="仿宋" w:eastAsia="仿宋_GB2312"/>
          <w:color w:val="auto"/>
          <w:sz w:val="32"/>
          <w:szCs w:val="32"/>
        </w:rPr>
        <w:t>食品经营者应保证运输和装卸食品的容器、工具和设备清洁、无害，保证食品的经营环境和储存环境等符合与食品所需的环境，并及时清理变质、超过保质期及其他不符合标准要求的食品；针对特殊贮存要求的食品，食品经营者在运输、贮藏时应当符合食品安全所需要的温度、空间隔离等特殊要求，防止交叉污染。</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3" w:firstLineChars="200"/>
        <w:textAlignment w:val="auto"/>
        <w:rPr>
          <w:rFonts w:ascii="楷体_GB2312" w:hAnsi="楷体" w:eastAsia="楷体_GB2312"/>
          <w:b/>
          <w:color w:val="auto"/>
          <w:sz w:val="32"/>
          <w:szCs w:val="32"/>
        </w:rPr>
      </w:pPr>
      <w:r>
        <w:rPr>
          <w:rFonts w:hint="eastAsia" w:ascii="楷体_GB2312" w:hAnsi="楷体" w:eastAsia="楷体_GB2312"/>
          <w:b/>
          <w:color w:val="auto"/>
          <w:sz w:val="32"/>
          <w:szCs w:val="32"/>
        </w:rPr>
        <w:t>（</w:t>
      </w:r>
      <w:r>
        <w:rPr>
          <w:rFonts w:hint="eastAsia" w:ascii="楷体_GB2312" w:hAnsi="楷体" w:eastAsia="楷体_GB2312"/>
          <w:b/>
          <w:color w:val="auto"/>
          <w:sz w:val="32"/>
          <w:szCs w:val="32"/>
          <w:lang w:eastAsia="zh-CN"/>
        </w:rPr>
        <w:t>三</w:t>
      </w:r>
      <w:r>
        <w:rPr>
          <w:rFonts w:hint="eastAsia" w:ascii="楷体_GB2312" w:hAnsi="楷体" w:eastAsia="楷体_GB2312"/>
          <w:b/>
          <w:color w:val="auto"/>
          <w:sz w:val="32"/>
          <w:szCs w:val="32"/>
        </w:rPr>
        <w:t>）加强食品出厂检验</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ascii="黑体" w:hAnsi="黑体" w:eastAsia="黑体" w:cs="仿宋_GB2312"/>
          <w:color w:val="auto"/>
          <w:sz w:val="32"/>
          <w:szCs w:val="32"/>
        </w:rPr>
      </w:pPr>
      <w:r>
        <w:rPr>
          <w:rFonts w:hint="eastAsia" w:eastAsia="仿宋_GB2312"/>
          <w:color w:val="auto"/>
          <w:sz w:val="32"/>
          <w:szCs w:val="32"/>
        </w:rPr>
        <w:t>食品生产企业要强化重视出厂检验的意识，制定切合自身且不断完善的出厂检验制度；建立完善的检测条件针对自身产品进行日常监管，制定出厂检验计划并严格执行，确保生产合格的产品；加强对生产的成品的检测频率，进行自检或送往具有相关资质的检测机构进行检测；建立健全产品召回机制，应对突发产品质量问题。</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3" w:firstLineChars="200"/>
        <w:jc w:val="both"/>
        <w:textAlignment w:val="auto"/>
        <w:rPr>
          <w:rStyle w:val="14"/>
          <w:rFonts w:ascii="楷体_GB2312" w:hAnsi="楷体" w:eastAsia="楷体_GB2312"/>
          <w:color w:val="auto"/>
          <w:sz w:val="32"/>
          <w:szCs w:val="32"/>
          <w:highlight w:val="none"/>
        </w:rPr>
      </w:pPr>
      <w:r>
        <w:rPr>
          <w:rStyle w:val="14"/>
          <w:rFonts w:hint="eastAsia" w:ascii="楷体_GB2312" w:hAnsi="楷体" w:eastAsia="楷体_GB2312"/>
          <w:color w:val="auto"/>
          <w:sz w:val="32"/>
          <w:szCs w:val="32"/>
          <w:highlight w:val="none"/>
        </w:rPr>
        <w:t>（</w:t>
      </w:r>
      <w:r>
        <w:rPr>
          <w:rStyle w:val="14"/>
          <w:rFonts w:hint="eastAsia" w:ascii="楷体_GB2312" w:hAnsi="楷体" w:eastAsia="楷体_GB2312"/>
          <w:color w:val="auto"/>
          <w:sz w:val="32"/>
          <w:szCs w:val="32"/>
          <w:highlight w:val="none"/>
          <w:lang w:eastAsia="zh-CN"/>
        </w:rPr>
        <w:t>四</w:t>
      </w:r>
      <w:r>
        <w:rPr>
          <w:rStyle w:val="14"/>
          <w:rFonts w:hint="eastAsia" w:ascii="楷体_GB2312" w:hAnsi="楷体" w:eastAsia="楷体_GB2312"/>
          <w:color w:val="auto"/>
          <w:sz w:val="32"/>
          <w:szCs w:val="32"/>
          <w:highlight w:val="none"/>
        </w:rPr>
        <w:t>）提高食品添加剂安全使用意识</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cs="仿宋_GB2312"/>
          <w:color w:val="auto"/>
          <w:sz w:val="32"/>
          <w:szCs w:val="32"/>
        </w:rPr>
      </w:pPr>
      <w:r>
        <w:rPr>
          <w:rFonts w:hint="eastAsia" w:ascii="仿宋_GB2312" w:hAnsi="仿宋" w:eastAsia="仿宋_GB2312"/>
          <w:color w:val="auto"/>
          <w:sz w:val="32"/>
          <w:szCs w:val="32"/>
          <w:highlight w:val="none"/>
        </w:rPr>
        <w:t>部分食品生产经营者为了追求经济效益，对食品添加剂过于依赖，但对食品添加剂使用要求却执行不到位。因此</w:t>
      </w:r>
      <w:r>
        <w:rPr>
          <w:rFonts w:hint="eastAsia" w:ascii="仿宋_GB2312" w:hAnsi="仿宋" w:eastAsia="仿宋_GB2312"/>
          <w:color w:val="auto"/>
          <w:sz w:val="32"/>
          <w:szCs w:val="32"/>
          <w:highlight w:val="none"/>
          <w:lang w:eastAsia="zh-CN"/>
        </w:rPr>
        <w:t>应</w:t>
      </w:r>
      <w:r>
        <w:rPr>
          <w:rFonts w:hint="eastAsia" w:ascii="仿宋_GB2312" w:hAnsi="仿宋" w:eastAsia="仿宋_GB2312"/>
          <w:color w:val="auto"/>
          <w:sz w:val="32"/>
          <w:szCs w:val="32"/>
          <w:highlight w:val="none"/>
        </w:rPr>
        <w:t>落实企业主体，加大对食品生产企业关于食品添加剂的相关法律法规和国家标准知识的宣传力度，进一步宣贯违法添加和滥用食品添加剂行为的危害性以及通过加大惩处等措施来提高食品生产企业食品添加剂安全使用意识。</w:t>
      </w: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640"/>
      </w:pPr>
      <w:r>
        <w:separator/>
      </w:r>
    </w:p>
  </w:endnote>
  <w:endnote w:type="continuationSeparator" w:id="1">
    <w:p>
      <w:pPr>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57995DDC-F93F-492E-9A7C-0E7451A60FED}"/>
  </w:font>
  <w:font w:name="黑体">
    <w:panose1 w:val="02010609060101010101"/>
    <w:charset w:val="86"/>
    <w:family w:val="auto"/>
    <w:pitch w:val="default"/>
    <w:sig w:usb0="800002BF" w:usb1="38CF7CFA" w:usb2="00000016" w:usb3="00000000" w:csb0="00040001" w:csb1="00000000"/>
    <w:embedRegular r:id="rId2" w:fontKey="{E5362105-31B3-4FAC-9528-EC204A11A6F2}"/>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3" w:fontKey="{DA3AA5EC-37F1-422D-9D59-7CD7614C57D9}"/>
  </w:font>
  <w:font w:name="楷体_GB2312">
    <w:panose1 w:val="02010609030101010101"/>
    <w:charset w:val="86"/>
    <w:family w:val="auto"/>
    <w:pitch w:val="default"/>
    <w:sig w:usb0="00000001" w:usb1="080E0000" w:usb2="00000000" w:usb3="00000000" w:csb0="00040000" w:csb1="00000000"/>
    <w:embedRegular r:id="rId4" w:fontKey="{A3358785-2576-4542-AB06-74E3C15EB011}"/>
  </w:font>
  <w:font w:name="Calibri Light">
    <w:panose1 w:val="020F0302020204030204"/>
    <w:charset w:val="00"/>
    <w:family w:val="swiss"/>
    <w:pitch w:val="default"/>
    <w:sig w:usb0="E4002EFF" w:usb1="C000247B" w:usb2="00000009" w:usb3="00000000" w:csb0="200001FF" w:csb1="00000000"/>
  </w:font>
  <w:font w:name="方正小标宋简体">
    <w:panose1 w:val="02000000000000000000"/>
    <w:charset w:val="86"/>
    <w:family w:val="script"/>
    <w:pitch w:val="default"/>
    <w:sig w:usb0="00000001" w:usb1="08000000" w:usb2="00000000" w:usb3="00000000" w:csb0="00040000" w:csb1="00000000"/>
    <w:embedRegular r:id="rId5" w:fontKey="{0AC13A5D-1D5B-4A25-8593-B22798AF362B}"/>
  </w:font>
  <w:font w:name="华文中宋">
    <w:panose1 w:val="02010600040101010101"/>
    <w:charset w:val="86"/>
    <w:family w:val="auto"/>
    <w:pitch w:val="default"/>
    <w:sig w:usb0="00000287" w:usb1="080F0000" w:usb2="00000000" w:usb3="00000000" w:csb0="0004009F" w:csb1="DFD70000"/>
    <w:embedRegular r:id="rId6" w:fontKey="{28D04F81-E5DC-4A64-808F-B06F19069714}"/>
  </w:font>
  <w:font w:name="楷体">
    <w:panose1 w:val="02010609060101010101"/>
    <w:charset w:val="86"/>
    <w:family w:val="modern"/>
    <w:pitch w:val="default"/>
    <w:sig w:usb0="800002BF" w:usb1="38CF7CFA" w:usb2="00000016" w:usb3="00000000" w:csb0="00040001" w:csb1="00000000"/>
    <w:embedRegular r:id="rId7" w:fontKey="{8E3AF0E4-F0BD-4588-877D-B7A767DA6047}"/>
  </w:font>
  <w:font w:name="仿宋">
    <w:panose1 w:val="02010609060101010101"/>
    <w:charset w:val="86"/>
    <w:family w:val="modern"/>
    <w:pitch w:val="default"/>
    <w:sig w:usb0="800002BF" w:usb1="38CF7CFA" w:usb2="00000016" w:usb3="00000000" w:csb0="00040001" w:csb1="00000000"/>
    <w:embedRegular r:id="rId8" w:fontKey="{479BC452-A024-46F3-89A6-4A893B9775BC}"/>
  </w:font>
  <w:font w:name="方正楷体_GB2312">
    <w:panose1 w:val="02000000000000000000"/>
    <w:charset w:val="86"/>
    <w:family w:val="auto"/>
    <w:pitch w:val="default"/>
    <w:sig w:usb0="A00002BF" w:usb1="184F6CFA" w:usb2="00000012" w:usb3="00000000" w:csb0="00040001" w:csb1="00000000"/>
    <w:embedRegular r:id="rId9" w:fontKey="{54A152BA-0B5E-42A8-B345-287860CF3B98}"/>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640"/>
      </w:pPr>
      <w:r>
        <w:separator/>
      </w:r>
    </w:p>
  </w:footnote>
  <w:footnote w:type="continuationSeparator" w:id="1">
    <w:p>
      <w:pPr>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BB36E8D"/>
    <w:multiLevelType w:val="singleLevel"/>
    <w:tmpl w:val="5BB36E8D"/>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normal"/>
  <w:zoom w:percent="9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0D4506"/>
    <w:rsid w:val="000139C9"/>
    <w:rsid w:val="005363F0"/>
    <w:rsid w:val="006B1DCC"/>
    <w:rsid w:val="00724BD2"/>
    <w:rsid w:val="008D6C99"/>
    <w:rsid w:val="00B977A2"/>
    <w:rsid w:val="00BE4BAD"/>
    <w:rsid w:val="010D4506"/>
    <w:rsid w:val="01565C22"/>
    <w:rsid w:val="017D0269"/>
    <w:rsid w:val="01880CE2"/>
    <w:rsid w:val="01D53863"/>
    <w:rsid w:val="01DD3C4D"/>
    <w:rsid w:val="03365C46"/>
    <w:rsid w:val="034743C9"/>
    <w:rsid w:val="034F1986"/>
    <w:rsid w:val="03E020C5"/>
    <w:rsid w:val="03FD00B3"/>
    <w:rsid w:val="0453793B"/>
    <w:rsid w:val="04977BD5"/>
    <w:rsid w:val="055921C9"/>
    <w:rsid w:val="055A195A"/>
    <w:rsid w:val="0597115B"/>
    <w:rsid w:val="06261016"/>
    <w:rsid w:val="066C5CEA"/>
    <w:rsid w:val="06F0528D"/>
    <w:rsid w:val="06F3181D"/>
    <w:rsid w:val="07486F42"/>
    <w:rsid w:val="07C82C95"/>
    <w:rsid w:val="07E04EFC"/>
    <w:rsid w:val="081209FA"/>
    <w:rsid w:val="081B38E6"/>
    <w:rsid w:val="08AD06EB"/>
    <w:rsid w:val="08F00F9F"/>
    <w:rsid w:val="091C5D20"/>
    <w:rsid w:val="0A101FAB"/>
    <w:rsid w:val="0A545255"/>
    <w:rsid w:val="0AEA5DCE"/>
    <w:rsid w:val="0B66492E"/>
    <w:rsid w:val="0B6F4B3F"/>
    <w:rsid w:val="0C083FBC"/>
    <w:rsid w:val="0C0C4E1D"/>
    <w:rsid w:val="0C455D22"/>
    <w:rsid w:val="0C6F4539"/>
    <w:rsid w:val="0CD4225F"/>
    <w:rsid w:val="0D1C5633"/>
    <w:rsid w:val="0D6C4E32"/>
    <w:rsid w:val="0E431583"/>
    <w:rsid w:val="0EA926E5"/>
    <w:rsid w:val="0EA93008"/>
    <w:rsid w:val="0EC839C2"/>
    <w:rsid w:val="0F261454"/>
    <w:rsid w:val="0F567840"/>
    <w:rsid w:val="0FE51EE1"/>
    <w:rsid w:val="10AD16A7"/>
    <w:rsid w:val="1162065F"/>
    <w:rsid w:val="11B32DA0"/>
    <w:rsid w:val="11BA183E"/>
    <w:rsid w:val="11CE6913"/>
    <w:rsid w:val="11E172CB"/>
    <w:rsid w:val="1210526E"/>
    <w:rsid w:val="12AF7645"/>
    <w:rsid w:val="12B51B83"/>
    <w:rsid w:val="139A1CB2"/>
    <w:rsid w:val="13E774D5"/>
    <w:rsid w:val="141B2394"/>
    <w:rsid w:val="14292A97"/>
    <w:rsid w:val="1499532A"/>
    <w:rsid w:val="1512088F"/>
    <w:rsid w:val="155219D3"/>
    <w:rsid w:val="15FE7C46"/>
    <w:rsid w:val="16396F4B"/>
    <w:rsid w:val="164E1FAB"/>
    <w:rsid w:val="165773C2"/>
    <w:rsid w:val="16A52765"/>
    <w:rsid w:val="176818BF"/>
    <w:rsid w:val="17C62E78"/>
    <w:rsid w:val="17FA5E44"/>
    <w:rsid w:val="181E6360"/>
    <w:rsid w:val="182C56B9"/>
    <w:rsid w:val="18F91C2D"/>
    <w:rsid w:val="199008F8"/>
    <w:rsid w:val="19EB104A"/>
    <w:rsid w:val="1A19393D"/>
    <w:rsid w:val="1A81096D"/>
    <w:rsid w:val="1A84029D"/>
    <w:rsid w:val="1AC759AF"/>
    <w:rsid w:val="1B042E72"/>
    <w:rsid w:val="1B7E0D88"/>
    <w:rsid w:val="1C2B3ECE"/>
    <w:rsid w:val="1C354059"/>
    <w:rsid w:val="1D3D5D17"/>
    <w:rsid w:val="1DB57EDF"/>
    <w:rsid w:val="1E3C794C"/>
    <w:rsid w:val="1EFD4E3F"/>
    <w:rsid w:val="1F120F82"/>
    <w:rsid w:val="1F456A61"/>
    <w:rsid w:val="1FEA3D63"/>
    <w:rsid w:val="200B2815"/>
    <w:rsid w:val="208760C8"/>
    <w:rsid w:val="208E2538"/>
    <w:rsid w:val="2103478D"/>
    <w:rsid w:val="219C06C7"/>
    <w:rsid w:val="231A399D"/>
    <w:rsid w:val="24415E66"/>
    <w:rsid w:val="248553AF"/>
    <w:rsid w:val="249A66FD"/>
    <w:rsid w:val="255973C6"/>
    <w:rsid w:val="255D305C"/>
    <w:rsid w:val="257D0D7B"/>
    <w:rsid w:val="25D84592"/>
    <w:rsid w:val="26635934"/>
    <w:rsid w:val="26D25598"/>
    <w:rsid w:val="27084E46"/>
    <w:rsid w:val="274815F0"/>
    <w:rsid w:val="27537B32"/>
    <w:rsid w:val="27D171E0"/>
    <w:rsid w:val="282A264F"/>
    <w:rsid w:val="28664823"/>
    <w:rsid w:val="28EE2E75"/>
    <w:rsid w:val="2928376B"/>
    <w:rsid w:val="29292876"/>
    <w:rsid w:val="295771E6"/>
    <w:rsid w:val="29DF09A6"/>
    <w:rsid w:val="2A2E5413"/>
    <w:rsid w:val="2A706ED1"/>
    <w:rsid w:val="2A95365C"/>
    <w:rsid w:val="2ACC6C6B"/>
    <w:rsid w:val="2BA5399C"/>
    <w:rsid w:val="2C6F3579"/>
    <w:rsid w:val="2C784420"/>
    <w:rsid w:val="2D2D024C"/>
    <w:rsid w:val="2DA27B95"/>
    <w:rsid w:val="2DCA4231"/>
    <w:rsid w:val="2E172668"/>
    <w:rsid w:val="2E6B3A9D"/>
    <w:rsid w:val="2E871900"/>
    <w:rsid w:val="2F085758"/>
    <w:rsid w:val="2F3F7F56"/>
    <w:rsid w:val="2F4F707A"/>
    <w:rsid w:val="2FD45D99"/>
    <w:rsid w:val="2FFC71C6"/>
    <w:rsid w:val="307B5CC3"/>
    <w:rsid w:val="308A4336"/>
    <w:rsid w:val="30B3361E"/>
    <w:rsid w:val="31200851"/>
    <w:rsid w:val="31831750"/>
    <w:rsid w:val="3189778C"/>
    <w:rsid w:val="31AA7543"/>
    <w:rsid w:val="31EA5456"/>
    <w:rsid w:val="31EF1FC4"/>
    <w:rsid w:val="323F00BC"/>
    <w:rsid w:val="324700B2"/>
    <w:rsid w:val="330F0153"/>
    <w:rsid w:val="33132CF8"/>
    <w:rsid w:val="3334531C"/>
    <w:rsid w:val="33713745"/>
    <w:rsid w:val="34264611"/>
    <w:rsid w:val="348E513C"/>
    <w:rsid w:val="34B74329"/>
    <w:rsid w:val="34FF4C0B"/>
    <w:rsid w:val="354F3FC5"/>
    <w:rsid w:val="35BC7A15"/>
    <w:rsid w:val="36A26439"/>
    <w:rsid w:val="36A86284"/>
    <w:rsid w:val="372845B2"/>
    <w:rsid w:val="37790A88"/>
    <w:rsid w:val="3787038C"/>
    <w:rsid w:val="37CC35F3"/>
    <w:rsid w:val="37DD6246"/>
    <w:rsid w:val="382D7593"/>
    <w:rsid w:val="38622AFA"/>
    <w:rsid w:val="387272BF"/>
    <w:rsid w:val="38865B2F"/>
    <w:rsid w:val="391B060E"/>
    <w:rsid w:val="39264334"/>
    <w:rsid w:val="39275408"/>
    <w:rsid w:val="398B0B0F"/>
    <w:rsid w:val="39C64A66"/>
    <w:rsid w:val="3AB301FA"/>
    <w:rsid w:val="3B1904CB"/>
    <w:rsid w:val="3B2518DE"/>
    <w:rsid w:val="3BAB1A67"/>
    <w:rsid w:val="3BFE4DC9"/>
    <w:rsid w:val="3C064771"/>
    <w:rsid w:val="3CA67A9F"/>
    <w:rsid w:val="3CDD7A17"/>
    <w:rsid w:val="3DBC0B10"/>
    <w:rsid w:val="3DF44DD4"/>
    <w:rsid w:val="3E051E67"/>
    <w:rsid w:val="3E1079E4"/>
    <w:rsid w:val="3E182457"/>
    <w:rsid w:val="3E88008E"/>
    <w:rsid w:val="3E984FE9"/>
    <w:rsid w:val="3EC80CDE"/>
    <w:rsid w:val="3F033412"/>
    <w:rsid w:val="3F0B45B6"/>
    <w:rsid w:val="3F685D87"/>
    <w:rsid w:val="3F7A3AC2"/>
    <w:rsid w:val="40191044"/>
    <w:rsid w:val="42016010"/>
    <w:rsid w:val="428251DB"/>
    <w:rsid w:val="42C23130"/>
    <w:rsid w:val="42D71D53"/>
    <w:rsid w:val="43974288"/>
    <w:rsid w:val="439F5506"/>
    <w:rsid w:val="440F147B"/>
    <w:rsid w:val="44141429"/>
    <w:rsid w:val="44896D41"/>
    <w:rsid w:val="44D452BA"/>
    <w:rsid w:val="45104BE6"/>
    <w:rsid w:val="460F4F06"/>
    <w:rsid w:val="464A4562"/>
    <w:rsid w:val="46CC6013"/>
    <w:rsid w:val="4848609B"/>
    <w:rsid w:val="4852746A"/>
    <w:rsid w:val="4864409A"/>
    <w:rsid w:val="48961A2D"/>
    <w:rsid w:val="48E60C18"/>
    <w:rsid w:val="49346CC6"/>
    <w:rsid w:val="499A7ACA"/>
    <w:rsid w:val="4B37566A"/>
    <w:rsid w:val="4BCB614C"/>
    <w:rsid w:val="4C7A639D"/>
    <w:rsid w:val="4CE91A69"/>
    <w:rsid w:val="4CF5205D"/>
    <w:rsid w:val="4DAC348D"/>
    <w:rsid w:val="4E0D626A"/>
    <w:rsid w:val="4EAD6BF5"/>
    <w:rsid w:val="4EBC0748"/>
    <w:rsid w:val="4ECB0493"/>
    <w:rsid w:val="4ECC3762"/>
    <w:rsid w:val="4F4940D8"/>
    <w:rsid w:val="4FE23640"/>
    <w:rsid w:val="4FED4605"/>
    <w:rsid w:val="503305EE"/>
    <w:rsid w:val="50561BEF"/>
    <w:rsid w:val="51F5342B"/>
    <w:rsid w:val="52332F51"/>
    <w:rsid w:val="528B5881"/>
    <w:rsid w:val="52A0415B"/>
    <w:rsid w:val="52E13353"/>
    <w:rsid w:val="52FE47AC"/>
    <w:rsid w:val="533A17A5"/>
    <w:rsid w:val="53465E28"/>
    <w:rsid w:val="534B1050"/>
    <w:rsid w:val="5370241B"/>
    <w:rsid w:val="53785E73"/>
    <w:rsid w:val="538B58DC"/>
    <w:rsid w:val="539260FB"/>
    <w:rsid w:val="53FD7C6B"/>
    <w:rsid w:val="54487F56"/>
    <w:rsid w:val="548A3477"/>
    <w:rsid w:val="550906E8"/>
    <w:rsid w:val="551B6EF1"/>
    <w:rsid w:val="557E5EAF"/>
    <w:rsid w:val="55961D9B"/>
    <w:rsid w:val="55F22D46"/>
    <w:rsid w:val="56D02FB6"/>
    <w:rsid w:val="56FE090D"/>
    <w:rsid w:val="5737759B"/>
    <w:rsid w:val="577D74E9"/>
    <w:rsid w:val="57FE2087"/>
    <w:rsid w:val="586B71C9"/>
    <w:rsid w:val="590154BD"/>
    <w:rsid w:val="59527B6B"/>
    <w:rsid w:val="59AF7439"/>
    <w:rsid w:val="59CC251A"/>
    <w:rsid w:val="59E33FF0"/>
    <w:rsid w:val="59EA54F5"/>
    <w:rsid w:val="5A5B4E1E"/>
    <w:rsid w:val="5B13142F"/>
    <w:rsid w:val="5B98016E"/>
    <w:rsid w:val="5C000884"/>
    <w:rsid w:val="5C224F8E"/>
    <w:rsid w:val="5C240B88"/>
    <w:rsid w:val="5C317F92"/>
    <w:rsid w:val="5E0606ED"/>
    <w:rsid w:val="5E0D1B19"/>
    <w:rsid w:val="5E214E94"/>
    <w:rsid w:val="5E275C6B"/>
    <w:rsid w:val="5E553A15"/>
    <w:rsid w:val="5E5703AB"/>
    <w:rsid w:val="5E7004E1"/>
    <w:rsid w:val="5E7F3F9B"/>
    <w:rsid w:val="5E9E3209"/>
    <w:rsid w:val="5ECD4C7F"/>
    <w:rsid w:val="5EEC66E6"/>
    <w:rsid w:val="5F093C78"/>
    <w:rsid w:val="5F5A1107"/>
    <w:rsid w:val="5F7E1BB9"/>
    <w:rsid w:val="5F831A12"/>
    <w:rsid w:val="6048573D"/>
    <w:rsid w:val="60FF5FDD"/>
    <w:rsid w:val="617E5460"/>
    <w:rsid w:val="61E02C8B"/>
    <w:rsid w:val="625323D6"/>
    <w:rsid w:val="62547A4D"/>
    <w:rsid w:val="62813E61"/>
    <w:rsid w:val="638239E5"/>
    <w:rsid w:val="638C3D00"/>
    <w:rsid w:val="63E10B0C"/>
    <w:rsid w:val="63F3279C"/>
    <w:rsid w:val="640059A5"/>
    <w:rsid w:val="640612C6"/>
    <w:rsid w:val="647A6E52"/>
    <w:rsid w:val="64EE5D8F"/>
    <w:rsid w:val="6500065A"/>
    <w:rsid w:val="6537764C"/>
    <w:rsid w:val="65E578BD"/>
    <w:rsid w:val="666A4D62"/>
    <w:rsid w:val="668A5EDC"/>
    <w:rsid w:val="66927680"/>
    <w:rsid w:val="66D06442"/>
    <w:rsid w:val="67180D7A"/>
    <w:rsid w:val="6756300A"/>
    <w:rsid w:val="67663F7B"/>
    <w:rsid w:val="6792245C"/>
    <w:rsid w:val="67AC56C6"/>
    <w:rsid w:val="6801069F"/>
    <w:rsid w:val="680F265C"/>
    <w:rsid w:val="687D6CC8"/>
    <w:rsid w:val="68E66C0F"/>
    <w:rsid w:val="690A7BA1"/>
    <w:rsid w:val="69113DCA"/>
    <w:rsid w:val="69130912"/>
    <w:rsid w:val="69CB77D8"/>
    <w:rsid w:val="6A323B2C"/>
    <w:rsid w:val="6A524C0E"/>
    <w:rsid w:val="6AC33480"/>
    <w:rsid w:val="6B1806CB"/>
    <w:rsid w:val="6C2646D1"/>
    <w:rsid w:val="6C5A3FCD"/>
    <w:rsid w:val="6C721C9A"/>
    <w:rsid w:val="6C942E03"/>
    <w:rsid w:val="6CB62996"/>
    <w:rsid w:val="6D731B27"/>
    <w:rsid w:val="6D76258B"/>
    <w:rsid w:val="6E7050A9"/>
    <w:rsid w:val="6E7A59CD"/>
    <w:rsid w:val="6E9610D2"/>
    <w:rsid w:val="6ECD36FF"/>
    <w:rsid w:val="6F1957D5"/>
    <w:rsid w:val="70254438"/>
    <w:rsid w:val="70810F1E"/>
    <w:rsid w:val="71754C6E"/>
    <w:rsid w:val="71DB6825"/>
    <w:rsid w:val="7275613E"/>
    <w:rsid w:val="72A04A1F"/>
    <w:rsid w:val="72F24D9D"/>
    <w:rsid w:val="733275F5"/>
    <w:rsid w:val="738026E3"/>
    <w:rsid w:val="73A979E7"/>
    <w:rsid w:val="74104D2B"/>
    <w:rsid w:val="7432739D"/>
    <w:rsid w:val="744F4674"/>
    <w:rsid w:val="747927C4"/>
    <w:rsid w:val="754B170B"/>
    <w:rsid w:val="756F7B86"/>
    <w:rsid w:val="75A82AC5"/>
    <w:rsid w:val="75CA36CA"/>
    <w:rsid w:val="763955BF"/>
    <w:rsid w:val="773A01B0"/>
    <w:rsid w:val="779A49A3"/>
    <w:rsid w:val="77BF6833"/>
    <w:rsid w:val="77FC16E5"/>
    <w:rsid w:val="78BC4EF9"/>
    <w:rsid w:val="78C82F23"/>
    <w:rsid w:val="78FE0A2F"/>
    <w:rsid w:val="792F0912"/>
    <w:rsid w:val="7A7C11A9"/>
    <w:rsid w:val="7A895DC7"/>
    <w:rsid w:val="7AC47EB7"/>
    <w:rsid w:val="7B4B68E6"/>
    <w:rsid w:val="7B5E04A9"/>
    <w:rsid w:val="7BE41421"/>
    <w:rsid w:val="7C073518"/>
    <w:rsid w:val="7C4079FA"/>
    <w:rsid w:val="7C8F2CF0"/>
    <w:rsid w:val="7F270D2A"/>
    <w:rsid w:val="7FD461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ind w:firstLine="640" w:firstLineChars="200"/>
      <w:jc w:val="both"/>
    </w:pPr>
    <w:rPr>
      <w:rFonts w:ascii="Calibri" w:hAnsi="Calibri" w:eastAsia="仿宋_GB2312" w:cs="Times New Roman"/>
      <w:kern w:val="2"/>
      <w:sz w:val="32"/>
      <w:szCs w:val="22"/>
      <w:lang w:val="en-US" w:eastAsia="zh-CN" w:bidi="ar-SA"/>
    </w:rPr>
  </w:style>
  <w:style w:type="paragraph" w:styleId="3">
    <w:name w:val="heading 1"/>
    <w:basedOn w:val="1"/>
    <w:next w:val="1"/>
    <w:qFormat/>
    <w:uiPriority w:val="0"/>
    <w:pPr>
      <w:keepNext/>
      <w:keepLines/>
      <w:spacing w:before="340" w:after="330" w:line="576" w:lineRule="auto"/>
      <w:outlineLvl w:val="0"/>
    </w:pPr>
    <w:rPr>
      <w:rFonts w:eastAsia="楷体_GB2312"/>
      <w:b/>
      <w:kern w:val="44"/>
    </w:rPr>
  </w:style>
  <w:style w:type="paragraph" w:styleId="4">
    <w:name w:val="heading 2"/>
    <w:basedOn w:val="1"/>
    <w:next w:val="1"/>
    <w:link w:val="19"/>
    <w:semiHidden/>
    <w:unhideWhenUsed/>
    <w:qFormat/>
    <w:uiPriority w:val="0"/>
    <w:pPr>
      <w:keepNext/>
      <w:keepLines/>
      <w:spacing w:before="260" w:after="260" w:line="416" w:lineRule="auto"/>
      <w:outlineLvl w:val="1"/>
    </w:pPr>
    <w:rPr>
      <w:rFonts w:asciiTheme="majorHAnsi" w:hAnsiTheme="majorHAnsi" w:eastAsiaTheme="majorEastAsia" w:cstheme="majorBidi"/>
      <w:b/>
      <w:bCs/>
      <w:szCs w:val="32"/>
    </w:rPr>
  </w:style>
  <w:style w:type="paragraph" w:styleId="2">
    <w:name w:val="heading 3"/>
    <w:basedOn w:val="1"/>
    <w:next w:val="1"/>
    <w:link w:val="21"/>
    <w:semiHidden/>
    <w:unhideWhenUsed/>
    <w:qFormat/>
    <w:uiPriority w:val="0"/>
    <w:pPr>
      <w:keepNext/>
      <w:keepLines/>
      <w:spacing w:before="200" w:beforeLines="0" w:beforeAutospacing="0" w:after="60" w:afterLines="0" w:afterAutospacing="0" w:line="420" w:lineRule="exact"/>
      <w:ind w:firstLine="0" w:firstLineChars="0"/>
      <w:jc w:val="left"/>
      <w:outlineLvl w:val="2"/>
    </w:pPr>
    <w:rPr>
      <w:rFonts w:hint="eastAsia" w:ascii="宋体" w:hAnsi="宋体" w:cs="Times New Roman"/>
      <w:b/>
      <w:szCs w:val="24"/>
    </w:rPr>
  </w:style>
  <w:style w:type="character" w:default="1" w:styleId="13">
    <w:name w:val="Default Paragraph Font"/>
    <w:semiHidden/>
    <w:unhideWhenUsed/>
    <w:qFormat/>
    <w:uiPriority w:val="1"/>
  </w:style>
  <w:style w:type="table" w:default="1" w:styleId="12">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5">
    <w:name w:val="Body Text"/>
    <w:basedOn w:val="1"/>
    <w:qFormat/>
    <w:uiPriority w:val="0"/>
    <w:rPr>
      <w:sz w:val="28"/>
    </w:rPr>
  </w:style>
  <w:style w:type="paragraph" w:styleId="6">
    <w:name w:val="Body Text Indent"/>
    <w:basedOn w:val="1"/>
    <w:qFormat/>
    <w:uiPriority w:val="0"/>
    <w:pPr>
      <w:spacing w:before="120" w:after="120"/>
      <w:ind w:firstLine="480"/>
    </w:pPr>
    <w:rPr>
      <w:rFonts w:ascii="宋体" w:hAnsi="宋体"/>
      <w:sz w:val="24"/>
      <w:szCs w:val="20"/>
    </w:rPr>
  </w:style>
  <w:style w:type="paragraph" w:styleId="7">
    <w:name w:val="footer"/>
    <w:basedOn w:val="1"/>
    <w:link w:val="18"/>
    <w:qFormat/>
    <w:uiPriority w:val="0"/>
    <w:pPr>
      <w:tabs>
        <w:tab w:val="center" w:pos="4153"/>
        <w:tab w:val="right" w:pos="8306"/>
      </w:tabs>
      <w:snapToGrid w:val="0"/>
      <w:jc w:val="left"/>
    </w:pPr>
    <w:rPr>
      <w:sz w:val="18"/>
      <w:szCs w:val="18"/>
    </w:rPr>
  </w:style>
  <w:style w:type="paragraph" w:styleId="8">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unhideWhenUsed/>
    <w:qFormat/>
    <w:uiPriority w:val="99"/>
    <w:pPr>
      <w:widowControl/>
      <w:spacing w:before="100" w:beforeAutospacing="1" w:after="100" w:afterAutospacing="1"/>
      <w:ind w:firstLine="0" w:firstLineChars="0"/>
      <w:jc w:val="left"/>
    </w:pPr>
    <w:rPr>
      <w:rFonts w:ascii="宋体" w:hAnsi="宋体" w:eastAsia="宋体" w:cs="宋体"/>
      <w:kern w:val="0"/>
      <w:sz w:val="24"/>
      <w:szCs w:val="24"/>
    </w:rPr>
  </w:style>
  <w:style w:type="paragraph" w:styleId="10">
    <w:name w:val="Body Text First Indent"/>
    <w:basedOn w:val="5"/>
    <w:qFormat/>
    <w:uiPriority w:val="0"/>
    <w:pPr>
      <w:ind w:firstLine="420" w:firstLineChars="100"/>
    </w:pPr>
  </w:style>
  <w:style w:type="paragraph" w:styleId="11">
    <w:name w:val="Body Text First Indent 2"/>
    <w:basedOn w:val="6"/>
    <w:next w:val="10"/>
    <w:qFormat/>
    <w:uiPriority w:val="0"/>
    <w:pPr>
      <w:spacing w:before="0"/>
      <w:ind w:left="420" w:leftChars="200" w:firstLine="420"/>
    </w:pPr>
  </w:style>
  <w:style w:type="character" w:styleId="14">
    <w:name w:val="Strong"/>
    <w:basedOn w:val="13"/>
    <w:qFormat/>
    <w:uiPriority w:val="22"/>
    <w:rPr>
      <w:b/>
      <w:bCs/>
    </w:rPr>
  </w:style>
  <w:style w:type="character" w:styleId="15">
    <w:name w:val="Hyperlink"/>
    <w:basedOn w:val="13"/>
    <w:qFormat/>
    <w:uiPriority w:val="0"/>
    <w:rPr>
      <w:color w:val="0000FF"/>
      <w:u w:val="single"/>
    </w:rPr>
  </w:style>
  <w:style w:type="paragraph" w:customStyle="1" w:styleId="16">
    <w:name w:val="本文正文"/>
    <w:basedOn w:val="1"/>
    <w:qFormat/>
    <w:uiPriority w:val="0"/>
    <w:pPr>
      <w:spacing w:line="360" w:lineRule="auto"/>
      <w:ind w:firstLine="803"/>
    </w:pPr>
    <w:rPr>
      <w:rFonts w:ascii="宋体" w:hAnsi="宋体"/>
      <w:sz w:val="24"/>
    </w:rPr>
  </w:style>
  <w:style w:type="character" w:customStyle="1" w:styleId="17">
    <w:name w:val="页眉 字符"/>
    <w:basedOn w:val="13"/>
    <w:link w:val="8"/>
    <w:qFormat/>
    <w:uiPriority w:val="0"/>
    <w:rPr>
      <w:rFonts w:ascii="Calibri" w:hAnsi="Calibri" w:eastAsia="仿宋_GB2312"/>
      <w:kern w:val="2"/>
      <w:sz w:val="18"/>
      <w:szCs w:val="18"/>
    </w:rPr>
  </w:style>
  <w:style w:type="character" w:customStyle="1" w:styleId="18">
    <w:name w:val="页脚 字符"/>
    <w:basedOn w:val="13"/>
    <w:link w:val="7"/>
    <w:qFormat/>
    <w:uiPriority w:val="0"/>
    <w:rPr>
      <w:rFonts w:ascii="Calibri" w:hAnsi="Calibri" w:eastAsia="仿宋_GB2312"/>
      <w:kern w:val="2"/>
      <w:sz w:val="18"/>
      <w:szCs w:val="18"/>
    </w:rPr>
  </w:style>
  <w:style w:type="character" w:customStyle="1" w:styleId="19">
    <w:name w:val="标题 2 字符"/>
    <w:basedOn w:val="13"/>
    <w:link w:val="4"/>
    <w:semiHidden/>
    <w:qFormat/>
    <w:uiPriority w:val="0"/>
    <w:rPr>
      <w:rFonts w:asciiTheme="majorHAnsi" w:hAnsiTheme="majorHAnsi" w:eastAsiaTheme="majorEastAsia" w:cstheme="majorBidi"/>
      <w:b/>
      <w:bCs/>
      <w:kern w:val="2"/>
      <w:sz w:val="32"/>
      <w:szCs w:val="32"/>
    </w:rPr>
  </w:style>
  <w:style w:type="paragraph" w:customStyle="1" w:styleId="20">
    <w:name w:val="列出段落2"/>
    <w:basedOn w:val="1"/>
    <w:qFormat/>
    <w:uiPriority w:val="34"/>
    <w:pPr>
      <w:ind w:firstLine="420" w:firstLineChars="200"/>
    </w:pPr>
  </w:style>
  <w:style w:type="character" w:customStyle="1" w:styleId="21">
    <w:name w:val="标题 3 字符"/>
    <w:basedOn w:val="13"/>
    <w:link w:val="2"/>
    <w:qFormat/>
    <w:uiPriority w:val="0"/>
    <w:rPr>
      <w:rFonts w:hint="default" w:ascii="Calibri" w:hAnsi="Calibri" w:cs="Calibri"/>
      <w:b/>
      <w:kern w:val="2"/>
      <w:sz w:val="32"/>
      <w:szCs w:val="32"/>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华测检测认证集团股份有限公司</Company>
  <Pages>8</Pages>
  <Words>3939</Words>
  <Characters>4237</Characters>
  <Lines>28</Lines>
  <Paragraphs>8</Paragraphs>
  <TotalTime>46</TotalTime>
  <ScaleCrop>false</ScaleCrop>
  <LinksUpToDate>false</LinksUpToDate>
  <CharactersWithSpaces>4273</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2020-12-18T06:54:00Z</dcterms:created>
  <dc:creator>zhenyongwen</dc:creator>
  <cp:lastModifiedBy>韦慧勤</cp:lastModifiedBy>
  <dcterms:modified xsi:type="dcterms:W3CDTF">2022-04-22T01:02:59Z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2BCBADEB164F420AB7CA92621D404113</vt:lpwstr>
  </property>
</Properties>
</file>