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2760-2014）中规定，干制蔬菜中二氧化硫残留量应≤0.2g/kg。</w:t>
      </w:r>
      <w:r>
        <w:rPr>
          <w:rFonts w:hint="eastAsia" w:ascii="仿宋_GB2312" w:hAnsi="仿宋" w:eastAsia="仿宋_GB2312" w:cs="宋体"/>
          <w:color w:val="auto"/>
          <w:kern w:val="0"/>
          <w:sz w:val="32"/>
          <w:szCs w:val="32"/>
        </w:rPr>
        <w:t>对二氧化硫有过敏反应的</w:t>
      </w:r>
      <w:bookmarkStart w:id="0" w:name="_GoBack"/>
      <w:bookmarkEnd w:id="0"/>
      <w:r>
        <w:rPr>
          <w:rFonts w:hint="eastAsia" w:ascii="仿宋_GB2312" w:hAnsi="仿宋" w:eastAsia="仿宋_GB2312" w:cs="宋体"/>
          <w:color w:val="auto"/>
          <w:kern w:val="0"/>
          <w:sz w:val="32"/>
          <w:szCs w:val="32"/>
        </w:rPr>
        <w:t>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w:t>
      </w:r>
      <w:r>
        <w:rPr>
          <w:rFonts w:hint="eastAsia" w:ascii="楷体_GB2312" w:hAnsi="楷体" w:eastAsia="楷体_GB2312" w:cs="仿宋_GB2312"/>
          <w:b/>
          <w:color w:val="auto"/>
          <w:sz w:val="32"/>
          <w:szCs w:val="32"/>
          <w:lang w:val="en-US" w:eastAsia="zh-CN"/>
        </w:rPr>
        <w:t>二</w:t>
      </w:r>
      <w:r>
        <w:rPr>
          <w:rFonts w:hint="eastAsia" w:ascii="楷体_GB2312" w:hAnsi="楷体" w:eastAsia="楷体_GB2312" w:cs="仿宋_GB2312"/>
          <w:b/>
          <w:color w:val="auto"/>
          <w:sz w:val="32"/>
          <w:szCs w:val="32"/>
          <w:lang w:val="zh-CN" w:eastAsia="zh-CN"/>
        </w:rPr>
        <w:t>）铝的残留量</w:t>
      </w:r>
    </w:p>
    <w:p>
      <w:pPr>
        <w:spacing w:line="560" w:lineRule="exact"/>
        <w:ind w:firstLine="640" w:firstLineChars="200"/>
        <w:rPr>
          <w:rFonts w:hint="eastAsia" w:ascii="仿宋_GB2312" w:hAnsi="仿宋" w:eastAsia="仿宋_GB2312" w:cs="仿宋_GB2312"/>
          <w:color w:val="auto"/>
          <w:sz w:val="32"/>
          <w:szCs w:val="32"/>
          <w:lang w:eastAsia="zh-CN"/>
        </w:rPr>
      </w:pPr>
      <w:r>
        <w:rPr>
          <w:rFonts w:hint="eastAsia" w:ascii="仿宋_GB2312" w:hAnsi="仿宋" w:eastAsia="仿宋_GB2312" w:cs="仿宋_GB2312"/>
          <w:color w:val="auto"/>
          <w:sz w:val="32"/>
          <w:szCs w:val="32"/>
        </w:rPr>
        <w:t>铝作为食品添加剂硫酸铝钾/硫酸铝铵的重要成分，经常会添加在食物中作为膨松剂或稳定剂</w:t>
      </w:r>
      <w:r>
        <w:rPr>
          <w:rFonts w:hint="eastAsia" w:ascii="仿宋_GB2312" w:hAnsi="仿宋" w:cs="仿宋_GB2312"/>
          <w:color w:val="auto"/>
          <w:sz w:val="32"/>
          <w:szCs w:val="32"/>
          <w:lang w:eastAsia="zh-CN"/>
        </w:rPr>
        <w:t>使用</w:t>
      </w:r>
      <w:r>
        <w:rPr>
          <w:rFonts w:hint="eastAsia" w:ascii="仿宋_GB2312" w:hAnsi="仿宋" w:eastAsia="仿宋_GB2312" w:cs="仿宋_GB2312"/>
          <w:color w:val="auto"/>
          <w:sz w:val="32"/>
          <w:szCs w:val="32"/>
        </w:rPr>
        <w:t>。铝有一定的慢性毒性，摄入铝超标的食品，在体内可造成铝的蓄积，轻者会使食欲减退，引起贫血，重者引起运动失调等健康危害</w:t>
      </w:r>
      <w:r>
        <w:rPr>
          <w:rFonts w:hint="eastAsia" w:ascii="仿宋_GB2312" w:hAnsi="仿宋" w:cs="仿宋_GB2312"/>
          <w:color w:val="auto"/>
          <w:sz w:val="32"/>
          <w:szCs w:val="32"/>
          <w:lang w:eastAsia="zh-CN"/>
        </w:rPr>
        <w:t>。本次粉丝</w:t>
      </w:r>
      <w:r>
        <w:rPr>
          <w:rFonts w:hint="eastAsia" w:ascii="仿宋_GB2312" w:hAnsi="仿宋" w:eastAsia="仿宋_GB2312" w:cs="仿宋_GB2312"/>
          <w:color w:val="auto"/>
          <w:sz w:val="32"/>
          <w:szCs w:val="32"/>
        </w:rPr>
        <w:t>不合格样品标签明示</w:t>
      </w:r>
      <w:r>
        <w:rPr>
          <w:rFonts w:hint="eastAsia" w:ascii="仿宋_GB2312" w:hAnsi="仿宋" w:eastAsia="仿宋_GB2312" w:cs="仿宋_GB2312"/>
          <w:color w:val="auto"/>
          <w:sz w:val="32"/>
          <w:szCs w:val="32"/>
          <w:lang w:eastAsia="zh-CN"/>
        </w:rPr>
        <w:t>“加工时不含人工色素和人工添加剂”，但检出一定量的铝残留，易对消费者造成误导。</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三</w:t>
      </w: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rPr>
        <w:t>苯甲酸及其钠盐</w:t>
      </w:r>
    </w:p>
    <w:p>
      <w:pPr>
        <w:spacing w:line="600" w:lineRule="exact"/>
        <w:ind w:firstLine="640" w:firstLineChars="200"/>
        <w:jc w:val="left"/>
        <w:textAlignment w:val="baseline"/>
        <w:rPr>
          <w:rFonts w:ascii="仿宋_GB2312" w:hAnsi="仿宋" w:eastAsia="仿宋_GB2312"/>
          <w:sz w:val="32"/>
          <w:szCs w:val="32"/>
        </w:rPr>
      </w:pPr>
      <w:r>
        <w:rPr>
          <w:rFonts w:hint="eastAsia" w:ascii="仿宋_GB2312" w:hAnsi="仿宋" w:eastAsia="仿宋_GB2312"/>
          <w:sz w:val="32"/>
          <w:szCs w:val="32"/>
        </w:rPr>
        <w:t>苯甲酸及其钠盐是食品工业中常见的一种防腐保鲜剂，对霉菌、酵</w:t>
      </w:r>
      <w:r>
        <w:rPr>
          <w:rFonts w:hint="eastAsia" w:ascii="仿宋_GB2312" w:hAnsi="仿宋" w:eastAsia="仿宋_GB2312" w:cs="仿宋_GB2312"/>
          <w:color w:val="auto"/>
          <w:sz w:val="32"/>
          <w:szCs w:val="32"/>
          <w:lang w:eastAsia="zh-CN"/>
        </w:rPr>
        <w:t>母和细菌有较好的抑制作用。《食品安全国家标准</w:t>
      </w:r>
      <w:r>
        <w:rPr>
          <w:rFonts w:hint="eastAsia" w:ascii="仿宋_GB2312" w:hAnsi="仿宋" w:cs="仿宋_GB2312"/>
          <w:color w:val="auto"/>
          <w:sz w:val="32"/>
          <w:szCs w:val="32"/>
          <w:lang w:val="en-US" w:eastAsia="zh-CN"/>
        </w:rPr>
        <w:t xml:space="preserve"> </w:t>
      </w:r>
      <w:r>
        <w:rPr>
          <w:rFonts w:hint="eastAsia" w:ascii="仿宋_GB2312" w:hAnsi="仿宋" w:eastAsia="仿宋_GB2312" w:cs="仿宋_GB2312"/>
          <w:color w:val="auto"/>
          <w:sz w:val="32"/>
          <w:szCs w:val="32"/>
          <w:lang w:eastAsia="zh-CN"/>
        </w:rPr>
        <w:t>食品添加剂使用标准》（GB 2760-2014）中规定，蜜饯凉果中苯甲酸及其钠盐（以苯甲酸计）应≤0.5 g/kg。苯甲酸及其钠盐的安全性较高，少量苯甲酸对人体无毒害，</w:t>
      </w:r>
      <w:r>
        <w:rPr>
          <w:rFonts w:hint="eastAsia" w:ascii="仿宋_GB2312" w:hAnsi="仿宋" w:eastAsia="仿宋_GB2312"/>
          <w:sz w:val="32"/>
          <w:szCs w:val="32"/>
        </w:rPr>
        <w:t>可随尿液排出体外，在人体内不会蓄积，但人体若长期过量食入苯甲酸超标的食品可能会对肝脏功能产生一定影响。</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四</w:t>
      </w:r>
      <w:r>
        <w:rPr>
          <w:rFonts w:hint="eastAsia" w:ascii="楷体_GB2312" w:hAnsi="楷体" w:eastAsia="楷体_GB2312" w:cs="仿宋_GB2312"/>
          <w:b/>
          <w:sz w:val="32"/>
          <w:szCs w:val="32"/>
          <w:lang w:eastAsia="zh-CN"/>
        </w:rPr>
        <w:t>）大肠菌群</w:t>
      </w:r>
    </w:p>
    <w:p>
      <w:pPr>
        <w:pStyle w:val="9"/>
        <w:shd w:val="clear" w:color="auto" w:fill="FFFFFF"/>
        <w:spacing w:before="0" w:beforeAutospacing="0" w:after="0" w:afterAutospacing="0" w:line="560" w:lineRule="exact"/>
        <w:ind w:firstLine="864" w:firstLineChars="270"/>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0000FF"/>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w:t>
      </w:r>
      <w:r>
        <w:rPr>
          <w:rFonts w:hint="eastAsia" w:ascii="仿宋_GB2312" w:hAnsi="仿宋" w:eastAsia="仿宋_GB2312"/>
          <w:color w:val="auto"/>
          <w:sz w:val="32"/>
          <w:szCs w:val="32"/>
          <w:lang w:val="zh-CN"/>
        </w:rPr>
        <w:t>（每50</w:t>
      </w:r>
      <w:r>
        <w:rPr>
          <w:rFonts w:hint="eastAsia" w:ascii="仿宋_GB2312" w:hAnsi="仿宋" w:eastAsia="仿宋_GB2312"/>
          <w:color w:val="auto"/>
          <w:sz w:val="32"/>
          <w:szCs w:val="32"/>
          <w:lang w:val="en-US" w:eastAsia="zh-CN"/>
        </w:rPr>
        <w:t>c</w:t>
      </w:r>
      <w:r>
        <w:rPr>
          <w:rFonts w:hint="eastAsia" w:ascii="仿宋_GB2312" w:hAnsi="仿宋" w:eastAsia="仿宋_GB2312"/>
          <w:color w:val="auto"/>
          <w:sz w:val="32"/>
          <w:szCs w:val="32"/>
          <w:lang w:val="zh-CN"/>
        </w:rPr>
        <w:t>m</w:t>
      </w:r>
      <w:r>
        <w:rPr>
          <w:rFonts w:hint="eastAsia" w:ascii="仿宋_GB2312" w:hAnsi="仿宋" w:eastAsia="仿宋_GB2312"/>
          <w:color w:val="auto"/>
          <w:sz w:val="32"/>
          <w:szCs w:val="32"/>
          <w:vertAlign w:val="superscript"/>
          <w:lang w:val="zh-CN"/>
        </w:rPr>
        <w:t>2</w:t>
      </w:r>
      <w:r>
        <w:rPr>
          <w:rFonts w:hint="eastAsia" w:ascii="仿宋_GB2312" w:hAnsi="仿宋" w:eastAsia="仿宋_GB2312"/>
          <w:color w:val="auto"/>
          <w:sz w:val="32"/>
          <w:szCs w:val="32"/>
          <w:lang w:val="zh-CN"/>
        </w:rPr>
        <w:t>）中不得检出大肠菌群。</w:t>
      </w:r>
      <w:r>
        <w:rPr>
          <w:rFonts w:hint="eastAsia" w:ascii="仿宋_GB2312" w:hAnsi="仿宋" w:eastAsia="仿宋_GB2312"/>
          <w:color w:val="auto"/>
          <w:sz w:val="32"/>
          <w:szCs w:val="32"/>
        </w:rPr>
        <w:t>餐饮具中检出大肠菌群提示餐饮具可能因清洗消毒不当或交叉污染导致食具受到肠道致病菌污染，如就餐者使用了大肠菌群不合格的餐饮具，可能会出现呕吐、腹泻等消化道疾病。</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五</w:t>
      </w:r>
      <w:r>
        <w:rPr>
          <w:rFonts w:hint="eastAsia" w:ascii="楷体_GB2312" w:hAnsi="楷体" w:eastAsia="楷体_GB2312" w:cs="仿宋_GB2312"/>
          <w:b/>
          <w:sz w:val="32"/>
          <w:szCs w:val="32"/>
          <w:lang w:eastAsia="zh-CN"/>
        </w:rPr>
        <w:t>）过氧化值</w:t>
      </w:r>
    </w:p>
    <w:p>
      <w:pPr>
        <w:spacing w:line="560" w:lineRule="exact"/>
        <w:ind w:firstLine="640" w:firstLineChars="200"/>
        <w:rPr>
          <w:rFonts w:ascii="仿宋_GB2312" w:hAnsi="仿宋" w:eastAsia="仿宋_GB2312"/>
          <w:color w:val="auto"/>
          <w:sz w:val="32"/>
          <w:szCs w:val="32"/>
        </w:rPr>
      </w:pPr>
      <w:r>
        <w:rPr>
          <w:rFonts w:hint="eastAsia" w:ascii="仿宋_GB2312" w:hAnsi="仿宋" w:eastAsia="仿宋_GB2312" w:cs="仿宋"/>
          <w:color w:val="auto"/>
          <w:sz w:val="32"/>
          <w:szCs w:val="32"/>
        </w:rPr>
        <w:t>过氧化值主要反映食品中油脂是否氧化变质。随着油脂被氧化，过氧化值会逐步升高。</w:t>
      </w:r>
      <w:r>
        <w:rPr>
          <w:rFonts w:hint="eastAsia" w:ascii="仿宋_GB2312" w:hAnsi="仿宋" w:eastAsia="仿宋_GB2312"/>
          <w:color w:val="auto"/>
          <w:sz w:val="32"/>
          <w:szCs w:val="32"/>
        </w:rPr>
        <w:t>《食品安全国家标准 坚果与籽类食品》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GB 19300-2014</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hint="eastAsia" w:ascii="仿宋_GB2312" w:hAnsi="仿宋" w:eastAsia="仿宋_GB2312" w:cs="仿宋"/>
          <w:color w:val="auto"/>
          <w:sz w:val="32"/>
          <w:szCs w:val="32"/>
        </w:rPr>
        <w:t>食用</w:t>
      </w:r>
      <w:r>
        <w:rPr>
          <w:rFonts w:hint="eastAsia" w:ascii="仿宋_GB2312" w:hAnsi="仿宋" w:eastAsia="仿宋_GB2312"/>
          <w:color w:val="auto"/>
          <w:sz w:val="32"/>
          <w:szCs w:val="32"/>
        </w:rPr>
        <w:t>过氧化值过高的食品可能会导致肠胃不适、腹泻等症状。</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六</w:t>
      </w:r>
      <w:r>
        <w:rPr>
          <w:rFonts w:hint="eastAsia" w:ascii="楷体_GB2312" w:hAnsi="楷体" w:eastAsia="楷体_GB2312" w:cs="仿宋_GB2312"/>
          <w:b/>
          <w:sz w:val="32"/>
          <w:szCs w:val="32"/>
          <w:lang w:eastAsia="zh-CN"/>
        </w:rPr>
        <w:t>）磺胺类（总量）</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31650-2019）规定，磺胺类在所有食品动物的肌肉和脂肪中的最高残留限量为100μg/kg</w:t>
      </w:r>
      <w:r>
        <w:rPr>
          <w:rFonts w:hint="eastAsia" w:ascii="仿宋_GB2312" w:hAnsi="仿宋" w:eastAsia="仿宋_GB2312"/>
          <w:sz w:val="32"/>
          <w:szCs w:val="32"/>
          <w:lang w:eastAsia="zh-CN"/>
        </w:rPr>
        <w:t>，</w:t>
      </w:r>
      <w:r>
        <w:rPr>
          <w:rFonts w:hint="eastAsia" w:ascii="仿宋_GB2312" w:hAnsi="仿宋" w:eastAsia="仿宋_GB2312" w:cs="Arial"/>
          <w:color w:val="auto"/>
          <w:sz w:val="32"/>
          <w:szCs w:val="32"/>
          <w:shd w:val="clear" w:color="auto" w:fill="FFFFFF"/>
        </w:rPr>
        <w:t>但在产蛋期家禽中禁用（鸡蛋、鹅蛋</w:t>
      </w:r>
      <w:r>
        <w:rPr>
          <w:rFonts w:hint="eastAsia" w:ascii="仿宋_GB2312" w:hAnsi="仿宋" w:cs="Arial"/>
          <w:color w:val="auto"/>
          <w:sz w:val="32"/>
          <w:szCs w:val="32"/>
          <w:shd w:val="clear" w:color="auto" w:fill="FFFFFF"/>
          <w:lang w:eastAsia="zh-CN"/>
        </w:rPr>
        <w:t>等</w:t>
      </w:r>
      <w:r>
        <w:rPr>
          <w:rFonts w:hint="eastAsia" w:ascii="仿宋_GB2312" w:hAnsi="仿宋" w:eastAsia="仿宋_GB2312" w:cs="Arial"/>
          <w:color w:val="auto"/>
          <w:sz w:val="32"/>
          <w:szCs w:val="32"/>
          <w:shd w:val="clear" w:color="auto" w:fill="FFFFFF"/>
        </w:rPr>
        <w:t>不</w:t>
      </w:r>
      <w:r>
        <w:rPr>
          <w:rFonts w:hint="eastAsia" w:ascii="仿宋_GB2312" w:hAnsi="仿宋" w:eastAsia="仿宋_GB2312" w:cs="Arial"/>
          <w:sz w:val="32"/>
          <w:szCs w:val="32"/>
          <w:shd w:val="clear" w:color="auto" w:fill="FFFFFF"/>
        </w:rPr>
        <w:t>得检出）</w:t>
      </w:r>
      <w:r>
        <w:rPr>
          <w:rFonts w:hint="eastAsia" w:ascii="仿宋_GB2312" w:hAnsi="仿宋" w:eastAsia="仿宋_GB2312"/>
          <w:sz w:val="32"/>
          <w:szCs w:val="32"/>
        </w:rPr>
        <w:t>。长期摄入磺胺类超标的动物性食品，可能导致泌尿系统和肝脏损伤等健康危害。</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七</w:t>
      </w:r>
      <w:r>
        <w:rPr>
          <w:rFonts w:hint="eastAsia" w:ascii="楷体_GB2312" w:hAnsi="楷体" w:eastAsia="楷体_GB2312" w:cs="仿宋_GB2312"/>
          <w:b/>
          <w:sz w:val="32"/>
          <w:szCs w:val="32"/>
          <w:lang w:val="zh-CN" w:eastAsia="zh-CN"/>
        </w:rPr>
        <w:t>）菌落总数</w:t>
      </w:r>
    </w:p>
    <w:p>
      <w:pPr>
        <w:spacing w:line="560" w:lineRule="exact"/>
        <w:ind w:firstLine="640" w:firstLineChars="200"/>
        <w:rPr>
          <w:rFonts w:ascii="仿宋_GB2312" w:hAnsi="楷体" w:eastAsia="仿宋_GB2312" w:cs="Arial"/>
          <w:b/>
          <w:color w:val="auto"/>
          <w:sz w:val="32"/>
          <w:szCs w:val="32"/>
          <w:shd w:val="clear" w:color="auto" w:fill="FFFFFF"/>
        </w:rPr>
      </w:pPr>
      <w:r>
        <w:rPr>
          <w:rFonts w:hint="eastAsia" w:ascii="仿宋_GB2312" w:hAnsi="仿宋" w:eastAsia="仿宋_GB2312"/>
          <w:color w:val="auto"/>
          <w:sz w:val="32"/>
          <w:szCs w:val="32"/>
        </w:rPr>
        <w:t>菌落总数是指示性微生物指标，并非致病菌指标，主要用来评价食品清洁度，反映食品在生产过程中是否符合卫生要求，一定程度上标志着食品卫生质量的优劣。《食品安全国家标准 熟肉制品》（GB 2726-2016）</w:t>
      </w:r>
      <w:r>
        <w:rPr>
          <w:rFonts w:hint="eastAsia" w:ascii="仿宋_GB2312" w:hAnsi="仿宋" w:eastAsia="仿宋_GB2312" w:cs="仿宋"/>
          <w:color w:val="auto"/>
          <w:sz w:val="32"/>
          <w:szCs w:val="32"/>
        </w:rPr>
        <w:t>中规定，</w:t>
      </w:r>
      <w:r>
        <w:rPr>
          <w:rFonts w:hint="eastAsia" w:ascii="仿宋_GB2312" w:hAnsi="仿宋" w:cs="仿宋"/>
          <w:color w:val="auto"/>
          <w:sz w:val="32"/>
          <w:szCs w:val="32"/>
          <w:lang w:eastAsia="zh-CN"/>
        </w:rPr>
        <w:t>熟肉制品（发酵肉制品类除外）</w:t>
      </w:r>
      <w:r>
        <w:rPr>
          <w:rFonts w:hint="eastAsia" w:ascii="仿宋_GB2312" w:hAnsi="仿宋" w:eastAsia="仿宋_GB2312"/>
          <w:color w:val="auto"/>
          <w:sz w:val="32"/>
          <w:szCs w:val="32"/>
        </w:rPr>
        <w:t>从一批产品中采集5个样品，若5个样品的检验结果均小于或等于m值（≤10</w:t>
      </w:r>
      <w:r>
        <w:rPr>
          <w:rFonts w:hint="eastAsia" w:ascii="仿宋_GB2312" w:hAnsi="仿宋"/>
          <w:color w:val="auto"/>
          <w:sz w:val="32"/>
          <w:szCs w:val="32"/>
          <w:vertAlign w:val="superscript"/>
          <w:lang w:val="en-US" w:eastAsia="zh-CN"/>
        </w:rPr>
        <w:t>4</w:t>
      </w:r>
      <w:r>
        <w:rPr>
          <w:rFonts w:hint="eastAsia" w:ascii="仿宋_GB2312" w:hAnsi="仿宋"/>
          <w:color w:val="auto"/>
          <w:sz w:val="32"/>
          <w:szCs w:val="32"/>
          <w:lang w:val="en-US" w:eastAsia="zh-CN"/>
        </w:rPr>
        <w:t>CFU</w:t>
      </w:r>
      <w:r>
        <w:rPr>
          <w:rFonts w:hint="eastAsia" w:ascii="仿宋_GB2312" w:hAnsi="仿宋" w:eastAsia="仿宋_GB2312"/>
          <w:color w:val="auto"/>
          <w:sz w:val="32"/>
          <w:szCs w:val="32"/>
        </w:rPr>
        <w:t>/g），则这种情况是允许的；若≤2个样品的结果（X）位于m值和M值之间（10</w:t>
      </w:r>
      <w:r>
        <w:rPr>
          <w:rFonts w:hint="eastAsia" w:ascii="仿宋_GB2312" w:hAnsi="仿宋"/>
          <w:color w:val="auto"/>
          <w:sz w:val="32"/>
          <w:szCs w:val="32"/>
          <w:vertAlign w:val="superscript"/>
          <w:lang w:val="en-US" w:eastAsia="zh-CN"/>
        </w:rPr>
        <w:t>4</w:t>
      </w:r>
      <w:r>
        <w:rPr>
          <w:rFonts w:hint="eastAsia" w:ascii="仿宋_GB2312" w:hAnsi="仿宋" w:eastAsia="仿宋_GB2312"/>
          <w:color w:val="auto"/>
          <w:sz w:val="32"/>
          <w:szCs w:val="32"/>
        </w:rPr>
        <w:t>CFU/g＜X≤10</w:t>
      </w:r>
      <w:r>
        <w:rPr>
          <w:rFonts w:hint="eastAsia" w:ascii="仿宋_GB2312" w:hAnsi="仿宋"/>
          <w:color w:val="auto"/>
          <w:sz w:val="32"/>
          <w:szCs w:val="32"/>
          <w:vertAlign w:val="superscript"/>
          <w:lang w:val="en-US" w:eastAsia="zh-CN"/>
        </w:rPr>
        <w:t>5</w:t>
      </w:r>
      <w:r>
        <w:rPr>
          <w:rFonts w:hint="eastAsia" w:ascii="仿宋_GB2312" w:hAnsi="仿宋" w:eastAsia="仿宋_GB2312"/>
          <w:color w:val="auto"/>
          <w:sz w:val="32"/>
          <w:szCs w:val="32"/>
        </w:rPr>
        <w:t>CFU/g）,则这种情况也是允许的；若有3个及以上的样品检验结果位于m值和M值之间，则这种情况是不允许的；若有任一样品的检验结果大于M值（＞10</w:t>
      </w:r>
      <w:r>
        <w:rPr>
          <w:rFonts w:hint="eastAsia" w:ascii="仿宋_GB2312" w:hAnsi="仿宋"/>
          <w:color w:val="auto"/>
          <w:sz w:val="32"/>
          <w:szCs w:val="32"/>
          <w:vertAlign w:val="superscript"/>
          <w:lang w:val="en-US" w:eastAsia="zh-CN"/>
        </w:rPr>
        <w:t>5</w:t>
      </w:r>
      <w:r>
        <w:rPr>
          <w:rFonts w:hint="eastAsia" w:ascii="仿宋_GB2312" w:hAnsi="仿宋" w:eastAsia="仿宋_GB2312"/>
          <w:color w:val="auto"/>
          <w:sz w:val="32"/>
          <w:szCs w:val="32"/>
        </w:rPr>
        <w:t>CFU/g），则这种情况也是不允许的</w:t>
      </w:r>
      <w:r>
        <w:rPr>
          <w:rFonts w:hint="eastAsia" w:ascii="仿宋_GB2312" w:hAnsi="仿宋"/>
          <w:color w:val="auto"/>
          <w:sz w:val="32"/>
          <w:szCs w:val="32"/>
          <w:lang w:eastAsia="zh-CN"/>
        </w:rPr>
        <w:t>。</w:t>
      </w:r>
      <w:r>
        <w:rPr>
          <w:rFonts w:hint="eastAsia" w:ascii="仿宋_GB2312" w:hAnsi="仿宋" w:eastAsia="仿宋_GB2312"/>
          <w:color w:val="auto"/>
          <w:sz w:val="32"/>
          <w:szCs w:val="32"/>
        </w:rPr>
        <w:t>食品的菌落总数超标，说明其产品的卫生状况达不到基本的卫生要求，将会破坏食品营养成分，加速食品腐败变质，使</w:t>
      </w:r>
      <w:r>
        <w:rPr>
          <w:rFonts w:hint="eastAsia" w:ascii="仿宋_GB2312" w:hAnsi="仿宋"/>
          <w:color w:val="auto"/>
          <w:sz w:val="32"/>
          <w:szCs w:val="32"/>
          <w:lang w:eastAsia="zh-CN"/>
        </w:rPr>
        <w:t>其</w:t>
      </w:r>
      <w:r>
        <w:rPr>
          <w:rFonts w:hint="eastAsia" w:ascii="仿宋_GB2312" w:hAnsi="仿宋" w:eastAsia="仿宋_GB2312"/>
          <w:color w:val="auto"/>
          <w:sz w:val="32"/>
          <w:szCs w:val="32"/>
        </w:rPr>
        <w:t>失去食用价值。消费者食用菌落总数超标严重的食品，容易患痢疾等肠道疾病，会引起呕吐、腹泻等症状。</w:t>
      </w:r>
    </w:p>
    <w:p>
      <w:pPr>
        <w:spacing w:line="560" w:lineRule="exact"/>
        <w:ind w:left="0" w:leftChars="0"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val="en-US" w:eastAsia="zh-CN"/>
        </w:rPr>
        <w:t>八</w:t>
      </w:r>
      <w:r>
        <w:rPr>
          <w:rFonts w:hint="eastAsia" w:ascii="楷体_GB2312" w:hAnsi="楷体" w:eastAsia="楷体_GB2312" w:cs="Arial"/>
          <w:b/>
          <w:sz w:val="32"/>
          <w:szCs w:val="32"/>
          <w:shd w:val="clear" w:color="auto" w:fill="FFFFFF"/>
        </w:rPr>
        <w:t>）氯氟氰菊酯和高效氯氟氰菊酯</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氯氟氰菊酯和高效氯氟氰菊酯是一种具有触杀和胃毒作用的拟除虫菊酯类农药。《食品安全国家标准 食品中农药最大残留限量》（GB 2763-2021）中规定，根茎类和薯类蔬菜（马铃薯除外）中氯氟氰菊酯和高效氯氟氰菊酯残留限量值应≤0.01mg/kg。氯氟氰菊酯和高效氯氟氰菊酯对皮肤有刺激作用，接触量大时会引起头痛、头昏、恶心、呕吐、双手颤抖等症状。</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九</w:t>
      </w:r>
      <w:r>
        <w:rPr>
          <w:rFonts w:hint="eastAsia" w:ascii="楷体_GB2312" w:hAnsi="楷体" w:eastAsia="楷体_GB2312" w:cs="仿宋_GB2312"/>
          <w:b/>
          <w:sz w:val="32"/>
          <w:szCs w:val="32"/>
          <w:lang w:val="zh-CN" w:eastAsia="zh-CN"/>
        </w:rPr>
        <w:t>）水分</w:t>
      </w:r>
    </w:p>
    <w:p>
      <w:pPr>
        <w:spacing w:line="560" w:lineRule="exact"/>
        <w:ind w:firstLine="645"/>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水分属于理化指标，是食品的一个内在质量因素，各类食品的产品标准常对水分含量有明确的限值要求，水分高低反映产品的含水量。合理的水分控制，可避免产品的功效成分或营养物质分解、酶解变质、霉变等，有助于保持产品质量稳定。《食品安全国家标准 食用菌及其制品》</w:t>
      </w:r>
      <w:r>
        <w:rPr>
          <w:rFonts w:hint="eastAsia" w:ascii="仿宋_GB2312" w:hAnsi="宋体" w:eastAsia="仿宋_GB2312" w:cs="宋体"/>
          <w:kern w:val="0"/>
          <w:sz w:val="32"/>
          <w:szCs w:val="32"/>
        </w:rPr>
        <w:t>（GB 7096-2014）中</w:t>
      </w:r>
      <w:r>
        <w:rPr>
          <w:rFonts w:hint="eastAsia" w:ascii="仿宋_GB2312" w:hAnsi="仿宋" w:eastAsia="仿宋_GB2312" w:cs="Times New Roman"/>
          <w:color w:val="auto"/>
          <w:kern w:val="2"/>
          <w:sz w:val="32"/>
          <w:szCs w:val="32"/>
          <w:lang w:val="en-US" w:eastAsia="zh-CN" w:bidi="ar-SA"/>
        </w:rPr>
        <w:t>规定，香菇干制品、银耳干制品以外的其他食用菌干制品水分应≤12g/100g。食品的水分不合格对人体健康没有重大影响，但是，水分超标会缩短产品的保质期限，使产品易发生霉变，可能引起产品质量的下降。</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十</w:t>
      </w:r>
      <w:r>
        <w:rPr>
          <w:rFonts w:hint="eastAsia" w:ascii="楷体_GB2312" w:hAnsi="楷体" w:eastAsia="楷体_GB2312" w:cs="仿宋_GB2312"/>
          <w:b/>
          <w:sz w:val="32"/>
          <w:szCs w:val="32"/>
          <w:lang w:val="zh-CN" w:eastAsia="zh-CN"/>
        </w:rPr>
        <w:t>）阴离子合成洗涤剂 </w:t>
      </w:r>
    </w:p>
    <w:p>
      <w:pPr>
        <w:pStyle w:val="9"/>
        <w:shd w:val="clear" w:color="auto" w:fill="FFFFFF"/>
        <w:spacing w:before="0" w:beforeAutospacing="0" w:after="0" w:afterAutospacing="0" w:line="560" w:lineRule="exact"/>
        <w:ind w:firstLine="640" w:firstLineChars="200"/>
        <w:jc w:val="both"/>
        <w:rPr>
          <w:rFonts w:hint="eastAsia" w:ascii="仿宋" w:hAnsi="仿宋" w:eastAsia="仿宋" w:cs="仿宋"/>
          <w:bCs/>
          <w:color w:val="auto"/>
          <w:sz w:val="32"/>
          <w:szCs w:val="32"/>
        </w:rPr>
      </w:pPr>
      <w:r>
        <w:rPr>
          <w:rFonts w:hint="eastAsia" w:ascii="仿宋_GB2312" w:hAnsi="仿宋" w:eastAsia="仿宋_GB2312" w:cs="Times New Roman"/>
          <w:kern w:val="2"/>
          <w:sz w:val="32"/>
          <w:szCs w:val="32"/>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ascii="仿宋_GB2312" w:hAnsi="仿宋" w:eastAsia="仿宋_GB2312"/>
          <w:sz w:val="32"/>
          <w:szCs w:val="32"/>
          <w:lang w:val="zh-CN"/>
        </w:rPr>
        <w:t>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消毒餐（饮）具中不得检出</w:t>
      </w:r>
      <w:r>
        <w:rPr>
          <w:rFonts w:hint="eastAsia" w:ascii="仿宋_GB2312" w:hAnsi="仿宋" w:eastAsia="仿宋_GB2312" w:cs="Times New Roman"/>
          <w:kern w:val="2"/>
          <w:sz w:val="32"/>
          <w:szCs w:val="32"/>
        </w:rPr>
        <w:t>阴离子合成洗涤剂(以十二烷基苯磺酸钠计)</w:t>
      </w:r>
      <w:r>
        <w:rPr>
          <w:rFonts w:hint="eastAsia" w:ascii="仿宋_GB2312" w:hAnsi="仿宋" w:eastAsia="仿宋_GB2312"/>
          <w:sz w:val="32"/>
          <w:szCs w:val="32"/>
          <w:lang w:val="zh-CN"/>
        </w:rPr>
        <w:t>。</w:t>
      </w:r>
      <w:r>
        <w:rPr>
          <w:rFonts w:hint="eastAsia" w:ascii="仿宋" w:hAnsi="仿宋" w:eastAsia="仿宋" w:cs="仿宋"/>
          <w:bCs/>
          <w:color w:val="auto"/>
          <w:sz w:val="32"/>
          <w:szCs w:val="32"/>
        </w:rPr>
        <w:t>部分餐饮从业人员卫生意识不强，用洗涤剂浸泡餐（饮）具后，未用清水冲刷或者冲刷时间较短易导致洗涤剂残留。长期使用十二烷基苯磺酸钠超标的餐（饮）具，可能容易引起呼吸系统过敏性反应。</w:t>
      </w:r>
    </w:p>
    <w:p>
      <w:pPr>
        <w:keepNext w:val="0"/>
        <w:keepLines w:val="0"/>
        <w:widowControl w:val="0"/>
        <w:suppressLineNumbers w:val="0"/>
        <w:spacing w:before="0" w:beforeAutospacing="0" w:after="0" w:afterAutospacing="0"/>
        <w:ind w:left="0" w:right="0"/>
        <w:jc w:val="both"/>
        <w:rPr>
          <w:rFonts w:hint="eastAsia" w:ascii="楷体_GB2312" w:hAnsi="宋体" w:eastAsia="楷体_GB2312" w:cs="宋体"/>
          <w:b/>
          <w:bCs w:val="0"/>
          <w:kern w:val="0"/>
          <w:sz w:val="32"/>
          <w:szCs w:val="32"/>
          <w:lang w:val="en-US"/>
        </w:rPr>
      </w:pPr>
      <w:r>
        <w:rPr>
          <w:rFonts w:hint="eastAsia" w:ascii="楷体_GB2312" w:hAnsi="宋体" w:eastAsia="楷体_GB2312" w:cs="宋体"/>
          <w:b/>
          <w:bCs w:val="0"/>
          <w:kern w:val="0"/>
          <w:sz w:val="32"/>
          <w:szCs w:val="32"/>
          <w:lang w:val="en-US" w:eastAsia="zh-CN" w:bidi="ar"/>
        </w:rPr>
        <w:t xml:space="preserve">（十一）乙基麦芽酚   </w:t>
      </w:r>
    </w:p>
    <w:p>
      <w:pPr>
        <w:keepNext w:val="0"/>
        <w:keepLines w:val="0"/>
        <w:widowControl/>
        <w:suppressLineNumbers w:val="0"/>
        <w:jc w:val="left"/>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乙基麦芽酚是一种香味增效剂，对食品的香味改善和增强具有显著效果，且能延长食品的储存期。《食品安全国家标准 食品添加剂使用标准》（GB 2760-2014）中规定食用调和油中不得使用乙基麦芽酚。食用植物油中检出微量乙基麦芽酚并不会对人体健康造成伤害，但超范围使用香料提示油品可能存在品质不良或掺杂掺伪的情况</w:t>
      </w:r>
      <w:r>
        <w:rPr>
          <w:rFonts w:hint="eastAsia" w:ascii="仿宋_GB2312" w:hAnsi="仿宋" w:cs="Times New Roman"/>
          <w:kern w:val="2"/>
          <w:sz w:val="32"/>
          <w:szCs w:val="32"/>
          <w:lang w:val="en-US" w:eastAsia="zh-CN" w:bidi="ar-SA"/>
        </w:rPr>
        <w:t>。</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315CC86-A815-4D82-B44F-4A14D75126CB}"/>
  </w:font>
  <w:font w:name="黑体">
    <w:panose1 w:val="02010609060101010101"/>
    <w:charset w:val="86"/>
    <w:family w:val="auto"/>
    <w:pitch w:val="default"/>
    <w:sig w:usb0="800002BF" w:usb1="38CF7CFA" w:usb2="00000016" w:usb3="00000000" w:csb0="00040001" w:csb1="00000000"/>
    <w:embedRegular r:id="rId2" w:fontKey="{A5BA7023-7413-4090-A0B2-4AA16E4C39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7971ECD5-9A12-4A6E-83A4-8D844510D279}"/>
  </w:font>
  <w:font w:name="楷体_GB2312">
    <w:panose1 w:val="02010609030101010101"/>
    <w:charset w:val="86"/>
    <w:family w:val="auto"/>
    <w:pitch w:val="default"/>
    <w:sig w:usb0="00000001" w:usb1="080E0000" w:usb2="00000000" w:usb3="00000000" w:csb0="00040000" w:csb1="00000000"/>
    <w:embedRegular r:id="rId4" w:fontKey="{B985BC1D-8AA0-46AC-A4BD-B8D93115B0C3}"/>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5" w:fontKey="{CF7E5CAA-73BC-4C69-89C5-AD7FC638A120}"/>
  </w:font>
  <w:font w:name="华文中宋">
    <w:panose1 w:val="02010600040101010101"/>
    <w:charset w:val="86"/>
    <w:family w:val="auto"/>
    <w:pitch w:val="default"/>
    <w:sig w:usb0="00000287" w:usb1="080F0000" w:usb2="00000000" w:usb3="00000000" w:csb0="0004009F" w:csb1="DFD70000"/>
    <w:embedRegular r:id="rId6" w:fontKey="{230160AC-698D-4ADE-ACEC-C1507BA5B7DC}"/>
  </w:font>
  <w:font w:name="楷体">
    <w:panose1 w:val="02010609060101010101"/>
    <w:charset w:val="86"/>
    <w:family w:val="modern"/>
    <w:pitch w:val="default"/>
    <w:sig w:usb0="800002BF" w:usb1="38CF7CFA" w:usb2="00000016" w:usb3="00000000" w:csb0="00040001" w:csb1="00000000"/>
    <w:embedRegular r:id="rId7" w:fontKey="{DC7D782C-3B56-44AE-B257-52DE0F1A3770}"/>
  </w:font>
  <w:font w:name="仿宋">
    <w:panose1 w:val="02010609060101010101"/>
    <w:charset w:val="86"/>
    <w:family w:val="modern"/>
    <w:pitch w:val="default"/>
    <w:sig w:usb0="800002BF" w:usb1="38CF7CFA" w:usb2="00000016" w:usb3="00000000" w:csb0="00040001" w:csb1="00000000"/>
    <w:embedRegular r:id="rId8" w:fontKey="{A78194FA-44BE-41D7-8DE8-5876833BCF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5363F0"/>
    <w:rsid w:val="006B1DCC"/>
    <w:rsid w:val="00724BD2"/>
    <w:rsid w:val="008D6C99"/>
    <w:rsid w:val="00B977A2"/>
    <w:rsid w:val="00BE4BAD"/>
    <w:rsid w:val="010D4506"/>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6C5CEA"/>
    <w:rsid w:val="06F0528D"/>
    <w:rsid w:val="07C82C95"/>
    <w:rsid w:val="07E04EFC"/>
    <w:rsid w:val="081209FA"/>
    <w:rsid w:val="081B38E6"/>
    <w:rsid w:val="08AD06EB"/>
    <w:rsid w:val="08F00F9F"/>
    <w:rsid w:val="091C5D20"/>
    <w:rsid w:val="0A101FAB"/>
    <w:rsid w:val="0A545255"/>
    <w:rsid w:val="0AEA5DCE"/>
    <w:rsid w:val="0B66492E"/>
    <w:rsid w:val="0C0C4E1D"/>
    <w:rsid w:val="0C455D22"/>
    <w:rsid w:val="0C6F4539"/>
    <w:rsid w:val="0CD4225F"/>
    <w:rsid w:val="0D1C5633"/>
    <w:rsid w:val="0D6C4E32"/>
    <w:rsid w:val="0E431583"/>
    <w:rsid w:val="0EA926E5"/>
    <w:rsid w:val="0EA93008"/>
    <w:rsid w:val="0EC839C2"/>
    <w:rsid w:val="0F261454"/>
    <w:rsid w:val="0FE51EE1"/>
    <w:rsid w:val="10AD16A7"/>
    <w:rsid w:val="1162065F"/>
    <w:rsid w:val="11B32DA0"/>
    <w:rsid w:val="11BA183E"/>
    <w:rsid w:val="11CE6913"/>
    <w:rsid w:val="11E172CB"/>
    <w:rsid w:val="1210526E"/>
    <w:rsid w:val="12AF7645"/>
    <w:rsid w:val="12B51B83"/>
    <w:rsid w:val="139A1CB2"/>
    <w:rsid w:val="13E774D5"/>
    <w:rsid w:val="141B2394"/>
    <w:rsid w:val="1499532A"/>
    <w:rsid w:val="1512088F"/>
    <w:rsid w:val="155219D3"/>
    <w:rsid w:val="15FE7C46"/>
    <w:rsid w:val="16396F4B"/>
    <w:rsid w:val="164E1FAB"/>
    <w:rsid w:val="165773C2"/>
    <w:rsid w:val="16A52765"/>
    <w:rsid w:val="176818BF"/>
    <w:rsid w:val="17C62E78"/>
    <w:rsid w:val="17FA5E44"/>
    <w:rsid w:val="181E6360"/>
    <w:rsid w:val="182C56B9"/>
    <w:rsid w:val="18F91C2D"/>
    <w:rsid w:val="199008F8"/>
    <w:rsid w:val="19EB104A"/>
    <w:rsid w:val="1A19393D"/>
    <w:rsid w:val="1A81096D"/>
    <w:rsid w:val="1AC759AF"/>
    <w:rsid w:val="1B042E72"/>
    <w:rsid w:val="1B7E0D88"/>
    <w:rsid w:val="1C2B3ECE"/>
    <w:rsid w:val="1C354059"/>
    <w:rsid w:val="1D3D5D17"/>
    <w:rsid w:val="1E3C794C"/>
    <w:rsid w:val="1EFD4E3F"/>
    <w:rsid w:val="1F456A61"/>
    <w:rsid w:val="1FEA3D63"/>
    <w:rsid w:val="200B2815"/>
    <w:rsid w:val="208760C8"/>
    <w:rsid w:val="208E2538"/>
    <w:rsid w:val="2103478D"/>
    <w:rsid w:val="219C06C7"/>
    <w:rsid w:val="231A399D"/>
    <w:rsid w:val="248553AF"/>
    <w:rsid w:val="249A66FD"/>
    <w:rsid w:val="255973C6"/>
    <w:rsid w:val="255D305C"/>
    <w:rsid w:val="257D0D7B"/>
    <w:rsid w:val="25D84592"/>
    <w:rsid w:val="26635934"/>
    <w:rsid w:val="26D25598"/>
    <w:rsid w:val="27084E46"/>
    <w:rsid w:val="274815F0"/>
    <w:rsid w:val="27537B32"/>
    <w:rsid w:val="27D171E0"/>
    <w:rsid w:val="282A264F"/>
    <w:rsid w:val="28664823"/>
    <w:rsid w:val="28EE2E75"/>
    <w:rsid w:val="29292876"/>
    <w:rsid w:val="295771E6"/>
    <w:rsid w:val="29DF09A6"/>
    <w:rsid w:val="2A706ED1"/>
    <w:rsid w:val="2A95365C"/>
    <w:rsid w:val="2ACC6C6B"/>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9778C"/>
    <w:rsid w:val="31AA7543"/>
    <w:rsid w:val="31EA5456"/>
    <w:rsid w:val="31EF1FC4"/>
    <w:rsid w:val="323F00BC"/>
    <w:rsid w:val="324700B2"/>
    <w:rsid w:val="330F0153"/>
    <w:rsid w:val="33132CF8"/>
    <w:rsid w:val="3334531C"/>
    <w:rsid w:val="33713745"/>
    <w:rsid w:val="34264611"/>
    <w:rsid w:val="348E513C"/>
    <w:rsid w:val="34B74329"/>
    <w:rsid w:val="34FF4C0B"/>
    <w:rsid w:val="354F3FC5"/>
    <w:rsid w:val="35BC7A15"/>
    <w:rsid w:val="36A26439"/>
    <w:rsid w:val="36A86284"/>
    <w:rsid w:val="372845B2"/>
    <w:rsid w:val="37790A88"/>
    <w:rsid w:val="3787038C"/>
    <w:rsid w:val="37CC35F3"/>
    <w:rsid w:val="37DD6246"/>
    <w:rsid w:val="382D7593"/>
    <w:rsid w:val="38622AFA"/>
    <w:rsid w:val="387272BF"/>
    <w:rsid w:val="38865B2F"/>
    <w:rsid w:val="391B060E"/>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848609B"/>
    <w:rsid w:val="4852746A"/>
    <w:rsid w:val="4864409A"/>
    <w:rsid w:val="48961A2D"/>
    <w:rsid w:val="48E60C18"/>
    <w:rsid w:val="49346CC6"/>
    <w:rsid w:val="499A7ACA"/>
    <w:rsid w:val="4B37566A"/>
    <w:rsid w:val="4BCB614C"/>
    <w:rsid w:val="4C7A639D"/>
    <w:rsid w:val="4CE91A69"/>
    <w:rsid w:val="4CF5205D"/>
    <w:rsid w:val="4DAC348D"/>
    <w:rsid w:val="4E0D626A"/>
    <w:rsid w:val="4EBC0748"/>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737759B"/>
    <w:rsid w:val="577D74E9"/>
    <w:rsid w:val="57FE2087"/>
    <w:rsid w:val="586B71C9"/>
    <w:rsid w:val="590154BD"/>
    <w:rsid w:val="59527B6B"/>
    <w:rsid w:val="59AF7439"/>
    <w:rsid w:val="59E33FF0"/>
    <w:rsid w:val="59EA54F5"/>
    <w:rsid w:val="5A5B4E1E"/>
    <w:rsid w:val="5B13142F"/>
    <w:rsid w:val="5B98016E"/>
    <w:rsid w:val="5C000884"/>
    <w:rsid w:val="5C224F8E"/>
    <w:rsid w:val="5C240B88"/>
    <w:rsid w:val="5C317F92"/>
    <w:rsid w:val="5E0606ED"/>
    <w:rsid w:val="5E0D1B19"/>
    <w:rsid w:val="5E214E94"/>
    <w:rsid w:val="5E275C6B"/>
    <w:rsid w:val="5E553A15"/>
    <w:rsid w:val="5E5703AB"/>
    <w:rsid w:val="5E7004E1"/>
    <w:rsid w:val="5E9E3209"/>
    <w:rsid w:val="5ECD4C7F"/>
    <w:rsid w:val="5F093C78"/>
    <w:rsid w:val="5F5A1107"/>
    <w:rsid w:val="5F7E1BB9"/>
    <w:rsid w:val="5F831A12"/>
    <w:rsid w:val="6048573D"/>
    <w:rsid w:val="60FF5FDD"/>
    <w:rsid w:val="617E5460"/>
    <w:rsid w:val="61E02C8B"/>
    <w:rsid w:val="625323D6"/>
    <w:rsid w:val="62547A4D"/>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E66C0F"/>
    <w:rsid w:val="690A7BA1"/>
    <w:rsid w:val="69113DCA"/>
    <w:rsid w:val="69130912"/>
    <w:rsid w:val="69CB77D8"/>
    <w:rsid w:val="6A323B2C"/>
    <w:rsid w:val="6AC33480"/>
    <w:rsid w:val="6B1806CB"/>
    <w:rsid w:val="6C2646D1"/>
    <w:rsid w:val="6C5A3FCD"/>
    <w:rsid w:val="6C721C9A"/>
    <w:rsid w:val="6C942E03"/>
    <w:rsid w:val="6D731B27"/>
    <w:rsid w:val="6D76258B"/>
    <w:rsid w:val="6E7050A9"/>
    <w:rsid w:val="6E9610D2"/>
    <w:rsid w:val="6ECD36FF"/>
    <w:rsid w:val="6F1957D5"/>
    <w:rsid w:val="70254438"/>
    <w:rsid w:val="71754C6E"/>
    <w:rsid w:val="71DB6825"/>
    <w:rsid w:val="72A04A1F"/>
    <w:rsid w:val="72F24D9D"/>
    <w:rsid w:val="733275F5"/>
    <w:rsid w:val="738026E3"/>
    <w:rsid w:val="73A979E7"/>
    <w:rsid w:val="74104D2B"/>
    <w:rsid w:val="7432739D"/>
    <w:rsid w:val="744F4674"/>
    <w:rsid w:val="747927C4"/>
    <w:rsid w:val="754B170B"/>
    <w:rsid w:val="756F7B86"/>
    <w:rsid w:val="75A82AC5"/>
    <w:rsid w:val="75CA36CA"/>
    <w:rsid w:val="763955BF"/>
    <w:rsid w:val="773A01B0"/>
    <w:rsid w:val="779A49A3"/>
    <w:rsid w:val="77FC16E5"/>
    <w:rsid w:val="78BC4EF9"/>
    <w:rsid w:val="78C82F23"/>
    <w:rsid w:val="78FE0A2F"/>
    <w:rsid w:val="792F0912"/>
    <w:rsid w:val="7A7C11A9"/>
    <w:rsid w:val="7A895DC7"/>
    <w:rsid w:val="7B4B68E6"/>
    <w:rsid w:val="7B5E04A9"/>
    <w:rsid w:val="7BE41421"/>
    <w:rsid w:val="7C073518"/>
    <w:rsid w:val="7C4079FA"/>
    <w:rsid w:val="7C8F2CF0"/>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6</Pages>
  <Words>2875</Words>
  <Characters>3050</Characters>
  <Lines>28</Lines>
  <Paragraphs>8</Paragraphs>
  <TotalTime>102</TotalTime>
  <ScaleCrop>false</ScaleCrop>
  <LinksUpToDate>false</LinksUpToDate>
  <CharactersWithSpaces>3074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2022-04-14T03:06:38Z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2BCBADEB164F420AB7CA92621D404113</vt:lpwstr>
  </property>
</Properties>
</file>