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Arial"/>
          <w:color w:val="auto"/>
          <w:kern w:val="0"/>
          <w:szCs w:val="32"/>
          <w:lang w:eastAsia="zh-CN"/>
        </w:rPr>
      </w:pPr>
      <w:r>
        <w:rPr>
          <w:rFonts w:hint="eastAsia" w:ascii="黑体" w:hAnsi="黑体" w:eastAsia="黑体" w:cs="Arial"/>
          <w:color w:val="auto"/>
          <w:kern w:val="0"/>
          <w:szCs w:val="32"/>
        </w:rPr>
        <w:t>附件</w:t>
      </w:r>
      <w:r>
        <w:rPr>
          <w:rFonts w:hint="eastAsia" w:ascii="黑体" w:hAnsi="黑体" w:eastAsia="黑体" w:cs="Arial"/>
          <w:color w:val="auto"/>
          <w:kern w:val="0"/>
          <w:szCs w:val="32"/>
          <w:lang w:val="en-US" w:eastAsia="zh-CN"/>
        </w:rPr>
        <w:t>3</w:t>
      </w:r>
    </w:p>
    <w:p>
      <w:pPr>
        <w:keepNext w:val="0"/>
        <w:keepLines w:val="0"/>
        <w:pageBreakBefore w:val="0"/>
        <w:kinsoku/>
        <w:wordWrap/>
        <w:overflowPunct/>
        <w:topLinePunct w:val="0"/>
        <w:autoSpaceDE/>
        <w:autoSpaceDN/>
        <w:bidi w:val="0"/>
        <w:adjustRightInd/>
        <w:snapToGrid/>
        <w:spacing w:line="560" w:lineRule="exact"/>
        <w:ind w:firstLine="832"/>
        <w:jc w:val="center"/>
        <w:textAlignment w:val="auto"/>
        <w:rPr>
          <w:rFonts w:ascii="方正小标宋简体" w:hAnsi="方正小标宋简体" w:eastAsia="方正小标宋简体" w:cs="方正小标宋简体"/>
          <w:color w:val="auto"/>
          <w:spacing w:val="-12"/>
          <w:sz w:val="44"/>
          <w:szCs w:val="44"/>
        </w:rPr>
      </w:pPr>
      <w:r>
        <w:rPr>
          <w:rFonts w:hint="eastAsia" w:ascii="华文中宋" w:hAnsi="华文中宋" w:eastAsia="华文中宋" w:cs="华文中宋"/>
          <w:color w:val="auto"/>
          <w:spacing w:val="-12"/>
          <w:sz w:val="44"/>
          <w:szCs w:val="44"/>
        </w:rPr>
        <w:t>部分不合格项目小知识</w:t>
      </w:r>
    </w:p>
    <w:p>
      <w:pPr>
        <w:pStyle w:val="11"/>
        <w:keepNext w:val="0"/>
        <w:keepLines w:val="0"/>
        <w:pageBreakBefore w:val="0"/>
        <w:kinsoku/>
        <w:wordWrap/>
        <w:overflowPunct/>
        <w:topLinePunct w:val="0"/>
        <w:autoSpaceDE/>
        <w:autoSpaceDN/>
        <w:bidi w:val="0"/>
        <w:adjustRightInd/>
        <w:snapToGrid/>
        <w:spacing w:after="0" w:line="560" w:lineRule="exact"/>
        <w:ind w:left="640" w:firstLine="480"/>
        <w:textAlignment w:val="auto"/>
        <w:rPr>
          <w:color w:val="auto"/>
        </w:rPr>
      </w:pPr>
    </w:p>
    <w:p>
      <w:pPr>
        <w:keepNext w:val="0"/>
        <w:keepLines w:val="0"/>
        <w:pageBreakBefore w:val="0"/>
        <w:kinsoku/>
        <w:wordWrap/>
        <w:overflowPunct/>
        <w:topLinePunct w:val="0"/>
        <w:autoSpaceDE/>
        <w:autoSpaceDN/>
        <w:bidi w:val="0"/>
        <w:adjustRightInd/>
        <w:snapToGrid/>
        <w:spacing w:line="560" w:lineRule="exact"/>
        <w:ind w:firstLine="643"/>
        <w:textAlignment w:val="auto"/>
        <w:rPr>
          <w:rFonts w:ascii="黑体" w:hAnsi="黑体" w:eastAsia="黑体" w:cs="黑体"/>
          <w:b w:val="0"/>
          <w:bCs w:val="0"/>
          <w:color w:val="auto"/>
          <w:szCs w:val="32"/>
        </w:rPr>
      </w:pPr>
      <w:r>
        <w:rPr>
          <w:rFonts w:hint="eastAsia" w:ascii="黑体" w:hAnsi="黑体" w:eastAsia="黑体" w:cs="黑体"/>
          <w:b w:val="0"/>
          <w:bCs w:val="0"/>
          <w:color w:val="auto"/>
          <w:szCs w:val="32"/>
        </w:rPr>
        <w:t>一、不合格项目小知识</w:t>
      </w:r>
    </w:p>
    <w:p>
      <w:pPr>
        <w:spacing w:line="560" w:lineRule="exact"/>
        <w:ind w:firstLine="643" w:firstLineChars="200"/>
        <w:rPr>
          <w:rFonts w:hint="eastAsia" w:ascii="仿宋_GB2312" w:hAnsi="仿宋" w:eastAsia="仿宋_GB2312" w:cs="宋体"/>
          <w:color w:val="auto"/>
          <w:kern w:val="0"/>
          <w:sz w:val="32"/>
          <w:szCs w:val="32"/>
          <w:lang w:val="en-US" w:eastAsia="zh-CN" w:bidi="ar-SA"/>
        </w:rPr>
      </w:pPr>
      <w:r>
        <w:rPr>
          <w:rFonts w:hint="eastAsia" w:ascii="楷体_GB2312" w:hAnsi="楷体" w:eastAsia="楷体_GB2312" w:cs="仿宋_GB2312"/>
          <w:b/>
          <w:color w:val="auto"/>
          <w:sz w:val="32"/>
          <w:szCs w:val="32"/>
          <w:lang w:eastAsia="zh-CN"/>
        </w:rPr>
        <w:t>（</w:t>
      </w:r>
      <w:r>
        <w:rPr>
          <w:rFonts w:hint="eastAsia" w:ascii="楷体_GB2312" w:hAnsi="楷体" w:eastAsia="楷体_GB2312" w:cs="仿宋_GB2312"/>
          <w:b/>
          <w:color w:val="auto"/>
          <w:sz w:val="32"/>
          <w:szCs w:val="32"/>
          <w:lang w:val="en-US" w:eastAsia="zh-CN"/>
        </w:rPr>
        <w:t>一</w:t>
      </w:r>
      <w:r>
        <w:rPr>
          <w:rFonts w:hint="eastAsia" w:ascii="楷体_GB2312" w:hAnsi="楷体" w:eastAsia="楷体_GB2312" w:cs="仿宋_GB2312"/>
          <w:b/>
          <w:color w:val="auto"/>
          <w:sz w:val="32"/>
          <w:szCs w:val="32"/>
          <w:lang w:eastAsia="zh-CN"/>
        </w:rPr>
        <w:t>）酸价</w:t>
      </w:r>
    </w:p>
    <w:p>
      <w:pPr>
        <w:pStyle w:val="9"/>
        <w:shd w:val="clear" w:color="auto" w:fill="FFFFFF"/>
        <w:spacing w:before="0" w:beforeAutospacing="0" w:after="0" w:afterAutospacing="0" w:line="560" w:lineRule="exact"/>
        <w:ind w:firstLine="640" w:firstLineChars="200"/>
        <w:jc w:val="both"/>
        <w:rPr>
          <w:rFonts w:hint="eastAsia" w:ascii="仿宋_GB2312" w:hAnsi="仿宋" w:eastAsia="仿宋_GB2312"/>
          <w:color w:val="auto"/>
          <w:sz w:val="32"/>
          <w:szCs w:val="32"/>
        </w:rPr>
      </w:pPr>
      <w:r>
        <w:rPr>
          <w:rFonts w:hint="eastAsia" w:ascii="仿宋_GB2312" w:hAnsi="仿宋" w:eastAsia="仿宋_GB2312" w:cs="宋体"/>
          <w:color w:val="auto"/>
          <w:kern w:val="0"/>
          <w:sz w:val="32"/>
          <w:szCs w:val="32"/>
          <w:lang w:val="en-US" w:eastAsia="zh-CN" w:bidi="ar-SA"/>
        </w:rPr>
        <w:t>酸价主要反映食品中的油脂酸败程度。《芝麻油》（GB/T 8233-2018）中规定,芝麻油中一级产品酸价(KOH</w:t>
      </w:r>
      <w:r>
        <w:rPr>
          <w:rFonts w:hint="eastAsia" w:ascii="仿宋_GB2312" w:hAnsi="仿宋" w:eastAsia="仿宋_GB2312"/>
          <w:color w:val="auto"/>
          <w:sz w:val="32"/>
          <w:szCs w:val="32"/>
        </w:rPr>
        <w:t>)应≤</w:t>
      </w:r>
      <w:r>
        <w:rPr>
          <w:rFonts w:hint="eastAsia" w:ascii="仿宋_GB2312" w:hAnsi="仿宋" w:eastAsia="仿宋_GB2312"/>
          <w:color w:val="auto"/>
          <w:sz w:val="32"/>
          <w:szCs w:val="32"/>
          <w:lang w:val="en-US" w:eastAsia="zh-CN"/>
        </w:rPr>
        <w:t>2.5</w:t>
      </w:r>
      <w:r>
        <w:rPr>
          <w:rFonts w:hint="eastAsia" w:ascii="仿宋_GB2312" w:hAnsi="仿宋" w:eastAsia="仿宋_GB2312"/>
          <w:color w:val="auto"/>
          <w:sz w:val="32"/>
          <w:szCs w:val="32"/>
        </w:rPr>
        <w:t>mg/g</w:t>
      </w:r>
      <w:r>
        <w:rPr>
          <w:rFonts w:hint="eastAsia" w:ascii="仿宋_GB2312" w:hAnsi="仿宋" w:eastAsia="仿宋_GB2312"/>
          <w:color w:val="auto"/>
          <w:sz w:val="32"/>
          <w:szCs w:val="32"/>
          <w:lang w:eastAsia="zh-CN"/>
        </w:rPr>
        <w:t>，二级产品</w:t>
      </w:r>
      <w:r>
        <w:rPr>
          <w:rFonts w:hint="eastAsia" w:ascii="仿宋_GB2312" w:hAnsi="仿宋" w:eastAsia="仿宋_GB2312" w:cs="宋体"/>
          <w:color w:val="auto"/>
          <w:kern w:val="0"/>
          <w:sz w:val="32"/>
          <w:szCs w:val="32"/>
          <w:lang w:val="en-US" w:eastAsia="zh-CN" w:bidi="ar-SA"/>
        </w:rPr>
        <w:t>酸价(KOH</w:t>
      </w:r>
      <w:r>
        <w:rPr>
          <w:rFonts w:hint="eastAsia" w:ascii="仿宋_GB2312" w:hAnsi="仿宋" w:eastAsia="仿宋_GB2312"/>
          <w:color w:val="auto"/>
          <w:sz w:val="32"/>
          <w:szCs w:val="32"/>
        </w:rPr>
        <w:t>)应≤</w:t>
      </w:r>
      <w:r>
        <w:rPr>
          <w:rFonts w:hint="eastAsia" w:ascii="仿宋_GB2312" w:hAnsi="仿宋" w:eastAsia="仿宋_GB2312"/>
          <w:color w:val="auto"/>
          <w:sz w:val="32"/>
          <w:szCs w:val="32"/>
          <w:lang w:val="en-US" w:eastAsia="zh-CN"/>
        </w:rPr>
        <w:t>3.0</w:t>
      </w:r>
      <w:r>
        <w:rPr>
          <w:rFonts w:hint="eastAsia" w:ascii="仿宋_GB2312" w:hAnsi="仿宋" w:eastAsia="仿宋_GB2312"/>
          <w:color w:val="auto"/>
          <w:sz w:val="32"/>
          <w:szCs w:val="32"/>
        </w:rPr>
        <w:t>mg/g。酸价过高会导致食品有哈喇味，所产生的醛、酮、酸会破坏脂溶性维生素，会导致肠胃不适症状，特别是对抵抗能力较弱的老人、孕妇、小孩危害更明显。</w:t>
      </w:r>
    </w:p>
    <w:p>
      <w:pPr>
        <w:pStyle w:val="9"/>
        <w:numPr>
          <w:ilvl w:val="0"/>
          <w:numId w:val="0"/>
        </w:numPr>
        <w:shd w:val="clear" w:color="auto" w:fill="FFFFFF"/>
        <w:spacing w:before="0" w:beforeAutospacing="0" w:after="0" w:afterAutospacing="0" w:line="560" w:lineRule="exact"/>
        <w:ind w:firstLine="643" w:firstLineChars="200"/>
        <w:rPr>
          <w:rFonts w:hint="eastAsia" w:ascii="楷体_GB2312" w:hAnsi="楷体" w:eastAsia="楷体_GB2312" w:cs="宋体"/>
          <w:b/>
          <w:color w:val="000000"/>
          <w:kern w:val="0"/>
          <w:sz w:val="32"/>
          <w:szCs w:val="32"/>
          <w:lang w:val="en-US" w:eastAsia="zh-CN" w:bidi="ar-SA"/>
        </w:rPr>
      </w:pPr>
      <w:r>
        <w:rPr>
          <w:rFonts w:hint="eastAsia" w:ascii="楷体_GB2312" w:hAnsi="楷体" w:eastAsia="楷体_GB2312" w:cs="宋体"/>
          <w:b/>
          <w:color w:val="000000"/>
          <w:kern w:val="0"/>
          <w:sz w:val="32"/>
          <w:szCs w:val="32"/>
          <w:lang w:val="en-US" w:eastAsia="zh-CN" w:bidi="ar-SA"/>
        </w:rPr>
        <w:t>（二）多菌灵</w:t>
      </w:r>
    </w:p>
    <w:p>
      <w:pPr>
        <w:pStyle w:val="2"/>
        <w:keepNext/>
        <w:keepLines/>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 w:eastAsia="仿宋_GB2312" w:cs="Times New Roman"/>
          <w:b w:val="0"/>
          <w:kern w:val="2"/>
          <w:sz w:val="32"/>
          <w:szCs w:val="32"/>
          <w:lang w:val="zh-CN" w:eastAsia="zh-CN" w:bidi="ar-SA"/>
        </w:rPr>
      </w:pPr>
      <w:r>
        <w:rPr>
          <w:rFonts w:hint="eastAsia" w:ascii="仿宋_GB2312" w:hAnsi="仿宋" w:eastAsia="仿宋_GB2312" w:cs="Times New Roman"/>
          <w:b w:val="0"/>
          <w:kern w:val="2"/>
          <w:sz w:val="32"/>
          <w:szCs w:val="32"/>
          <w:lang w:val="zh-CN" w:eastAsia="zh-CN" w:bidi="ar-SA"/>
        </w:rPr>
        <w:t>多菌灵是一种广谱性杀菌剂，对多种作物由真菌引起的病害具有防治效果，广泛用于果树、蔬菜、粮棉和林木病害的防治。急性毒性分级标准为实际无毒级。相关研究未见遗传毒性。《食品安全国家标准 食品中农药最大残留限量》（GB 2763</w:t>
      </w:r>
      <w:r>
        <w:rPr>
          <w:rFonts w:hint="eastAsia" w:ascii="仿宋_GB2312" w:hAnsi="仿宋" w:eastAsia="仿宋_GB2312" w:cs="Times New Roman"/>
          <w:b w:val="0"/>
          <w:kern w:val="2"/>
          <w:sz w:val="32"/>
          <w:szCs w:val="32"/>
          <w:lang w:val="en-US" w:eastAsia="zh-CN" w:bidi="ar-SA"/>
        </w:rPr>
        <w:t>-</w:t>
      </w:r>
      <w:r>
        <w:rPr>
          <w:rFonts w:hint="eastAsia" w:ascii="仿宋_GB2312" w:hAnsi="仿宋" w:eastAsia="仿宋_GB2312" w:cs="Times New Roman"/>
          <w:b w:val="0"/>
          <w:kern w:val="2"/>
          <w:sz w:val="32"/>
          <w:szCs w:val="32"/>
          <w:lang w:val="zh-CN" w:eastAsia="zh-CN" w:bidi="ar-SA"/>
        </w:rPr>
        <w:t>201</w:t>
      </w:r>
      <w:r>
        <w:rPr>
          <w:rFonts w:hint="eastAsia" w:ascii="仿宋_GB2312" w:hAnsi="仿宋" w:cs="Times New Roman"/>
          <w:b w:val="0"/>
          <w:kern w:val="2"/>
          <w:sz w:val="32"/>
          <w:szCs w:val="32"/>
          <w:lang w:val="en-US" w:eastAsia="zh-CN" w:bidi="ar-SA"/>
        </w:rPr>
        <w:t>9</w:t>
      </w:r>
      <w:r>
        <w:rPr>
          <w:rFonts w:hint="eastAsia" w:ascii="仿宋_GB2312" w:hAnsi="仿宋" w:eastAsia="仿宋_GB2312" w:cs="Times New Roman"/>
          <w:b w:val="0"/>
          <w:kern w:val="2"/>
          <w:sz w:val="32"/>
          <w:szCs w:val="32"/>
          <w:lang w:val="zh-CN" w:eastAsia="zh-CN" w:bidi="ar-SA"/>
        </w:rPr>
        <w:t>）中规定，茶叶中的</w:t>
      </w:r>
      <w:r>
        <w:rPr>
          <w:rFonts w:hint="eastAsia" w:ascii="仿宋_GB2312" w:hAnsi="仿宋" w:cs="Times New Roman"/>
          <w:b w:val="0"/>
          <w:kern w:val="2"/>
          <w:sz w:val="32"/>
          <w:szCs w:val="32"/>
          <w:lang w:val="zh-CN" w:eastAsia="zh-CN" w:bidi="ar-SA"/>
        </w:rPr>
        <w:t>多菌灵</w:t>
      </w:r>
      <w:r>
        <w:rPr>
          <w:rFonts w:hint="eastAsia" w:ascii="仿宋_GB2312" w:hAnsi="仿宋" w:eastAsia="仿宋_GB2312" w:cs="Times New Roman"/>
          <w:b w:val="0"/>
          <w:kern w:val="2"/>
          <w:sz w:val="32"/>
          <w:szCs w:val="32"/>
          <w:lang w:val="zh-CN" w:eastAsia="zh-CN" w:bidi="ar-SA"/>
        </w:rPr>
        <w:t>应≤</w:t>
      </w:r>
      <w:r>
        <w:rPr>
          <w:rFonts w:hint="eastAsia" w:ascii="仿宋_GB2312" w:hAnsi="仿宋" w:cs="Times New Roman"/>
          <w:b w:val="0"/>
          <w:kern w:val="2"/>
          <w:sz w:val="32"/>
          <w:szCs w:val="32"/>
          <w:lang w:val="en-US" w:eastAsia="zh-CN" w:bidi="ar-SA"/>
        </w:rPr>
        <w:t>5</w:t>
      </w:r>
      <w:r>
        <w:rPr>
          <w:rFonts w:hint="eastAsia" w:ascii="仿宋_GB2312" w:hAnsi="仿宋" w:eastAsia="仿宋_GB2312" w:cs="Times New Roman"/>
          <w:b w:val="0"/>
          <w:kern w:val="2"/>
          <w:sz w:val="32"/>
          <w:szCs w:val="32"/>
          <w:lang w:val="zh-CN" w:eastAsia="zh-CN" w:bidi="ar-SA"/>
        </w:rPr>
        <w:t>mg/kg。长期食用多菌灵超标的食品，对人体健康可能产生一定影响。</w:t>
      </w:r>
    </w:p>
    <w:p>
      <w:pPr>
        <w:pStyle w:val="9"/>
        <w:numPr>
          <w:ilvl w:val="0"/>
          <w:numId w:val="0"/>
        </w:numPr>
        <w:shd w:val="clear" w:color="auto" w:fill="FFFFFF"/>
        <w:spacing w:before="0" w:beforeAutospacing="0" w:after="0" w:afterAutospacing="0" w:line="560" w:lineRule="exact"/>
        <w:ind w:firstLine="643" w:firstLineChars="200"/>
        <w:rPr>
          <w:rFonts w:hint="eastAsia" w:ascii="楷体_GB2312" w:hAnsi="楷体" w:eastAsia="楷体_GB2312" w:cs="宋体"/>
          <w:b/>
          <w:color w:val="000000"/>
          <w:kern w:val="0"/>
          <w:sz w:val="32"/>
          <w:szCs w:val="32"/>
          <w:lang w:val="en-US" w:eastAsia="zh-CN" w:bidi="ar-SA"/>
        </w:rPr>
      </w:pPr>
      <w:r>
        <w:rPr>
          <w:rFonts w:hint="eastAsia" w:ascii="楷体_GB2312" w:hAnsi="楷体" w:eastAsia="楷体_GB2312" w:cs="宋体"/>
          <w:b/>
          <w:color w:val="000000"/>
          <w:kern w:val="0"/>
          <w:sz w:val="32"/>
          <w:szCs w:val="32"/>
          <w:lang w:val="en-US" w:eastAsia="zh-CN" w:bidi="ar-SA"/>
        </w:rPr>
        <w:t>（三）铬</w:t>
      </w:r>
    </w:p>
    <w:p>
      <w:pPr>
        <w:pStyle w:val="9"/>
        <w:numPr>
          <w:ilvl w:val="0"/>
          <w:numId w:val="0"/>
        </w:numPr>
        <w:shd w:val="clear" w:color="auto" w:fill="FFFFFF"/>
        <w:spacing w:before="0" w:beforeAutospacing="0" w:after="0" w:afterAutospacing="0" w:line="560" w:lineRule="exact"/>
        <w:ind w:firstLine="640" w:firstLineChars="200"/>
        <w:jc w:val="both"/>
        <w:rPr>
          <w:rFonts w:hint="eastAsia" w:ascii="仿宋_GB2312" w:hAnsi="仿宋" w:eastAsia="仿宋_GB2312" w:cs="Times New Roman"/>
          <w:kern w:val="2"/>
          <w:sz w:val="32"/>
          <w:szCs w:val="32"/>
          <w:lang w:val="zh-CN" w:eastAsia="zh-CN" w:bidi="ar-SA"/>
        </w:rPr>
      </w:pPr>
      <w:r>
        <w:rPr>
          <w:rFonts w:hint="eastAsia" w:ascii="仿宋_GB2312" w:hAnsi="仿宋" w:eastAsia="仿宋_GB2312" w:cs="Times New Roman"/>
          <w:kern w:val="2"/>
          <w:sz w:val="32"/>
          <w:szCs w:val="32"/>
          <w:lang w:val="zh-CN" w:eastAsia="zh-CN" w:bidi="ar-SA"/>
        </w:rPr>
        <w:t>微量的铬是人体必需的</w:t>
      </w:r>
      <w:r>
        <w:rPr>
          <w:rFonts w:hint="eastAsia" w:ascii="仿宋_GB2312" w:hAnsi="仿宋" w:eastAsia="仿宋_GB2312" w:cs="Times New Roman"/>
          <w:kern w:val="2"/>
          <w:sz w:val="32"/>
          <w:szCs w:val="32"/>
          <w:lang w:val="en-US" w:eastAsia="zh-CN" w:bidi="ar-SA"/>
        </w:rPr>
        <w:fldChar w:fldCharType="begin"/>
      </w:r>
      <w:r>
        <w:rPr>
          <w:rFonts w:hint="eastAsia" w:ascii="仿宋_GB2312" w:hAnsi="仿宋" w:eastAsia="仿宋_GB2312" w:cs="Times New Roman"/>
          <w:kern w:val="2"/>
          <w:sz w:val="32"/>
          <w:szCs w:val="32"/>
          <w:lang w:val="en-US" w:eastAsia="zh-CN" w:bidi="ar-SA"/>
        </w:rPr>
        <w:instrText xml:space="preserve"> HYPERLINK "https://baike.so.com/doc/4689751-4903712.html" \t "https://baike.so.com/doc/_blank" </w:instrText>
      </w:r>
      <w:r>
        <w:rPr>
          <w:rFonts w:hint="eastAsia" w:ascii="仿宋_GB2312" w:hAnsi="仿宋" w:eastAsia="仿宋_GB2312" w:cs="Times New Roman"/>
          <w:kern w:val="2"/>
          <w:sz w:val="32"/>
          <w:szCs w:val="32"/>
          <w:lang w:val="en-US" w:eastAsia="zh-CN" w:bidi="ar-SA"/>
        </w:rPr>
        <w:fldChar w:fldCharType="separate"/>
      </w:r>
      <w:r>
        <w:rPr>
          <w:rFonts w:hint="eastAsia" w:ascii="仿宋_GB2312" w:hAnsi="仿宋" w:eastAsia="仿宋_GB2312" w:cs="Times New Roman"/>
          <w:kern w:val="2"/>
          <w:sz w:val="32"/>
          <w:szCs w:val="32"/>
          <w:lang w:val="zh-CN" w:eastAsia="zh-CN" w:bidi="ar-SA"/>
        </w:rPr>
        <w:t>元素</w:t>
      </w:r>
      <w:r>
        <w:rPr>
          <w:rFonts w:hint="eastAsia" w:ascii="仿宋_GB2312" w:hAnsi="仿宋" w:eastAsia="仿宋_GB2312" w:cs="Times New Roman"/>
          <w:kern w:val="2"/>
          <w:sz w:val="32"/>
          <w:szCs w:val="32"/>
          <w:lang w:val="zh-CN" w:eastAsia="zh-CN" w:bidi="ar-SA"/>
        </w:rPr>
        <w:fldChar w:fldCharType="end"/>
      </w:r>
      <w:r>
        <w:rPr>
          <w:rFonts w:hint="eastAsia" w:ascii="仿宋_GB2312" w:hAnsi="仿宋" w:eastAsia="仿宋_GB2312" w:cs="Times New Roman"/>
          <w:kern w:val="2"/>
          <w:sz w:val="32"/>
          <w:szCs w:val="32"/>
          <w:lang w:val="zh-CN" w:eastAsia="zh-CN" w:bidi="ar-SA"/>
        </w:rPr>
        <w:t>，其中，三价铬对人体几乎不产生有害作用；而六价铬则对人有慢性毒害，可通过消化道、呼吸道、皮肤和粘膜侵入人体，在体内主要积聚在肝、肾和内分泌腺中。《食品安全国家标准 食品中污染物限量》（GB 2762-2017）中规定，肉制品中铬（以Cr计）应</w:t>
      </w:r>
      <w:r>
        <w:rPr>
          <w:rFonts w:hint="eastAsia" w:ascii="仿宋_GB2312" w:hAnsi="仿宋" w:eastAsia="仿宋_GB2312" w:cs="Times New Roman"/>
          <w:kern w:val="2"/>
          <w:sz w:val="32"/>
          <w:szCs w:val="32"/>
          <w:lang w:val="en-US" w:eastAsia="zh-CN" w:bidi="ar-SA"/>
        </w:rPr>
        <w:t>≤1.0mg/kg。</w:t>
      </w:r>
      <w:r>
        <w:rPr>
          <w:rFonts w:hint="eastAsia" w:ascii="仿宋_GB2312" w:hAnsi="仿宋" w:eastAsia="仿宋_GB2312" w:cs="Times New Roman"/>
          <w:kern w:val="2"/>
          <w:sz w:val="32"/>
          <w:szCs w:val="32"/>
          <w:lang w:val="zh-CN" w:eastAsia="zh-CN" w:bidi="ar-SA"/>
        </w:rPr>
        <w:t>长期食用铬超标的食品会引起肾脏、肝脏、神经系统和血液的病变。</w:t>
      </w:r>
    </w:p>
    <w:p>
      <w:pPr>
        <w:spacing w:line="560" w:lineRule="exact"/>
        <w:ind w:firstLine="643" w:firstLineChars="200"/>
        <w:rPr>
          <w:rFonts w:ascii="楷体_GB2312" w:hAnsi="楷体" w:eastAsia="楷体_GB2312" w:cs="仿宋_GB2312"/>
          <w:b/>
          <w:sz w:val="32"/>
          <w:szCs w:val="32"/>
        </w:rPr>
      </w:pPr>
      <w:r>
        <w:rPr>
          <w:rFonts w:hint="eastAsia" w:ascii="楷体_GB2312" w:hAnsi="楷体" w:eastAsia="楷体_GB2312" w:cs="仿宋_GB2312"/>
          <w:b/>
          <w:color w:val="000000"/>
          <w:sz w:val="32"/>
          <w:szCs w:val="32"/>
        </w:rPr>
        <w:t>（</w:t>
      </w:r>
      <w:r>
        <w:rPr>
          <w:rFonts w:hint="eastAsia" w:ascii="楷体_GB2312" w:hAnsi="楷体" w:eastAsia="楷体_GB2312" w:cs="仿宋_GB2312"/>
          <w:b/>
          <w:color w:val="000000"/>
          <w:sz w:val="32"/>
          <w:szCs w:val="32"/>
          <w:lang w:eastAsia="zh-CN"/>
        </w:rPr>
        <w:t>四</w:t>
      </w:r>
      <w:r>
        <w:rPr>
          <w:rFonts w:hint="eastAsia" w:ascii="楷体_GB2312" w:hAnsi="楷体" w:eastAsia="楷体_GB2312" w:cs="仿宋_GB2312"/>
          <w:b/>
          <w:color w:val="000000"/>
          <w:sz w:val="32"/>
          <w:szCs w:val="32"/>
        </w:rPr>
        <w:t>）</w:t>
      </w:r>
      <w:r>
        <w:rPr>
          <w:rFonts w:hint="eastAsia" w:ascii="楷体_GB2312" w:hAnsi="楷体" w:eastAsia="楷体_GB2312" w:cs="仿宋_GB2312"/>
          <w:b/>
          <w:sz w:val="32"/>
          <w:szCs w:val="32"/>
        </w:rPr>
        <w:t>过氧化值</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
          <w:sz w:val="32"/>
          <w:szCs w:val="32"/>
        </w:rPr>
        <w:t>过氧化值主要反映食品中油脂是否氧化变质。随着油脂被氧化，过氧化值会逐步升高。《食品安全国家标准 腌腊肉制品》（GB 2730-2015）中规定，</w:t>
      </w:r>
      <w:r>
        <w:rPr>
          <w:rFonts w:hint="eastAsia" w:ascii="仿宋_GB2312" w:hAnsi="仿宋" w:eastAsia="仿宋_GB2312" w:cs="仿宋"/>
          <w:sz w:val="32"/>
          <w:szCs w:val="32"/>
          <w:lang w:eastAsia="zh-CN"/>
        </w:rPr>
        <w:t>火腿、腊肉、咸肉、香（腊）肠</w:t>
      </w:r>
      <w:r>
        <w:rPr>
          <w:rFonts w:hint="eastAsia" w:ascii="仿宋_GB2312" w:hAnsi="仿宋" w:eastAsia="仿宋_GB2312" w:cs="仿宋"/>
          <w:sz w:val="32"/>
          <w:szCs w:val="32"/>
        </w:rPr>
        <w:t>的过氧化值(以脂肪计)应≤0.5g/100g。食用</w:t>
      </w:r>
      <w:r>
        <w:rPr>
          <w:rFonts w:hint="eastAsia" w:ascii="仿宋_GB2312" w:hAnsi="仿宋" w:eastAsia="仿宋_GB2312"/>
          <w:sz w:val="32"/>
          <w:szCs w:val="32"/>
        </w:rPr>
        <w:t>过氧化值过高的食品可能会导致肠胃不适、腹泻等症状。</w:t>
      </w:r>
    </w:p>
    <w:p>
      <w:pPr>
        <w:rPr>
          <w:rFonts w:ascii="楷体_GB2312" w:hAnsi="宋体" w:eastAsia="楷体_GB2312" w:cs="宋体"/>
          <w:b/>
          <w:kern w:val="0"/>
          <w:sz w:val="32"/>
          <w:szCs w:val="32"/>
        </w:rPr>
      </w:pPr>
      <w:r>
        <w:rPr>
          <w:rFonts w:ascii="楷体_GB2312" w:hAnsi="宋体" w:eastAsia="楷体_GB2312" w:cs="宋体"/>
          <w:b/>
          <w:kern w:val="0"/>
          <w:sz w:val="32"/>
          <w:szCs w:val="32"/>
        </w:rPr>
        <w:t>（</w:t>
      </w:r>
      <w:r>
        <w:rPr>
          <w:rFonts w:hint="eastAsia" w:ascii="楷体_GB2312" w:hAnsi="宋体" w:eastAsia="楷体_GB2312" w:cs="宋体"/>
          <w:b/>
          <w:kern w:val="0"/>
          <w:sz w:val="32"/>
          <w:szCs w:val="32"/>
          <w:lang w:eastAsia="zh-CN"/>
        </w:rPr>
        <w:t>五</w:t>
      </w:r>
      <w:r>
        <w:rPr>
          <w:rFonts w:ascii="楷体_GB2312" w:hAnsi="宋体" w:eastAsia="楷体_GB2312" w:cs="宋体"/>
          <w:b/>
          <w:kern w:val="0"/>
          <w:sz w:val="32"/>
          <w:szCs w:val="32"/>
        </w:rPr>
        <w:t>）磺胺类（总量）</w:t>
      </w:r>
    </w:p>
    <w:p>
      <w:pPr>
        <w:pStyle w:val="9"/>
        <w:shd w:val="clear" w:color="auto" w:fill="FFFFFF"/>
        <w:spacing w:before="0" w:beforeAutospacing="0" w:after="0" w:afterAutospacing="0" w:line="560" w:lineRule="exact"/>
        <w:ind w:firstLine="640" w:firstLineChars="200"/>
        <w:jc w:val="both"/>
        <w:rPr>
          <w:rFonts w:hint="eastAsia" w:ascii="仿宋_GB2312" w:hAnsi="仿宋" w:eastAsia="仿宋_GB2312"/>
          <w:sz w:val="32"/>
          <w:szCs w:val="32"/>
        </w:rPr>
      </w:pPr>
      <w:r>
        <w:rPr>
          <w:rFonts w:hint="eastAsia" w:ascii="仿宋_GB2312" w:hAnsi="仿宋" w:eastAsia="仿宋_GB2312"/>
          <w:sz w:val="32"/>
          <w:szCs w:val="32"/>
        </w:rPr>
        <w:t>磺胺类药物是一种人工合成的抗菌药，具有抗菌谱较广、性质稳定、使用简便等特性，对大多数革兰氏阳性菌和阴性菌都有较强抑制作用，广泛用于防治鸡球虫病。《食品安全国家标准 食品中兽药最大残留限量》（GB 31650-2019）规定，磺胺类在所有食品动物的肌肉和脂肪中的最高残留限量为100μg/kg</w:t>
      </w:r>
      <w:r>
        <w:rPr>
          <w:rFonts w:hint="eastAsia" w:ascii="仿宋_GB2312" w:hAnsi="仿宋" w:eastAsia="仿宋_GB2312"/>
          <w:sz w:val="32"/>
          <w:szCs w:val="32"/>
          <w:lang w:eastAsia="zh-CN"/>
        </w:rPr>
        <w:t>，</w:t>
      </w:r>
      <w:r>
        <w:rPr>
          <w:rFonts w:hint="eastAsia" w:ascii="仿宋_GB2312" w:hAnsi="仿宋" w:eastAsia="仿宋_GB2312" w:cs="Arial"/>
          <w:color w:val="auto"/>
          <w:sz w:val="32"/>
          <w:szCs w:val="32"/>
          <w:shd w:val="clear" w:color="auto" w:fill="FFFFFF"/>
        </w:rPr>
        <w:t>但在产蛋期家禽中禁用（鸡蛋不</w:t>
      </w:r>
      <w:r>
        <w:rPr>
          <w:rFonts w:hint="eastAsia" w:ascii="仿宋_GB2312" w:hAnsi="仿宋" w:eastAsia="仿宋_GB2312" w:cs="Arial"/>
          <w:sz w:val="32"/>
          <w:szCs w:val="32"/>
          <w:shd w:val="clear" w:color="auto" w:fill="FFFFFF"/>
        </w:rPr>
        <w:t>得检出）</w:t>
      </w:r>
      <w:r>
        <w:rPr>
          <w:rFonts w:hint="eastAsia" w:ascii="仿宋_GB2312" w:hAnsi="仿宋" w:eastAsia="仿宋_GB2312"/>
          <w:sz w:val="32"/>
          <w:szCs w:val="32"/>
        </w:rPr>
        <w:t>。长期摄入磺胺类超标的动物性食品，可能导致泌尿系统和肝脏损伤等健康危害。</w:t>
      </w:r>
    </w:p>
    <w:p>
      <w:pPr>
        <w:rPr>
          <w:rFonts w:ascii="楷体_GB2312" w:hAnsi="宋体" w:eastAsia="楷体_GB2312" w:cs="宋体"/>
          <w:b/>
          <w:kern w:val="0"/>
          <w:sz w:val="32"/>
          <w:szCs w:val="32"/>
        </w:rPr>
      </w:pPr>
      <w:r>
        <w:rPr>
          <w:rFonts w:hint="eastAsia" w:ascii="楷体_GB2312" w:hAnsi="宋体" w:eastAsia="楷体_GB2312" w:cs="宋体"/>
          <w:b/>
          <w:kern w:val="0"/>
          <w:sz w:val="32"/>
          <w:szCs w:val="32"/>
          <w:lang w:eastAsia="zh-CN"/>
        </w:rPr>
        <w:t>（六）</w:t>
      </w:r>
      <w:r>
        <w:rPr>
          <w:rFonts w:hint="eastAsia" w:ascii="楷体_GB2312" w:hAnsi="宋体" w:eastAsia="楷体_GB2312" w:cs="宋体"/>
          <w:b/>
          <w:kern w:val="0"/>
          <w:sz w:val="32"/>
          <w:szCs w:val="32"/>
        </w:rPr>
        <w:t>氰戊菊酯和S-氰戊菊酯</w:t>
      </w:r>
    </w:p>
    <w:p>
      <w:pPr>
        <w:pStyle w:val="9"/>
        <w:shd w:val="clear" w:color="auto" w:fill="FFFFFF"/>
        <w:spacing w:before="0" w:beforeAutospacing="0" w:after="0" w:afterAutospacing="0" w:line="560" w:lineRule="exact"/>
        <w:ind w:firstLine="640" w:firstLineChars="200"/>
        <w:jc w:val="both"/>
        <w:rPr>
          <w:rFonts w:hint="eastAsia" w:ascii="仿宋_GB2312" w:hAnsi="仿宋" w:eastAsia="仿宋_GB2312"/>
          <w:sz w:val="32"/>
          <w:szCs w:val="32"/>
        </w:rPr>
      </w:pPr>
      <w:r>
        <w:rPr>
          <w:rFonts w:hint="eastAsia" w:ascii="仿宋_GB2312" w:hAnsi="仿宋" w:eastAsia="仿宋_GB2312"/>
          <w:sz w:val="32"/>
          <w:szCs w:val="32"/>
        </w:rPr>
        <w:t>氰戊菊酯和S-氰戊菊酯是一种广谱高效拟除虫菊酯杀虫剂，对害虫具触杀、胃毒作用，适用于多种作物的害虫防治。《食品安全国家标准 食品中农药最大残留限量》（GB 2763</w:t>
      </w:r>
      <w:r>
        <w:rPr>
          <w:rFonts w:hint="eastAsia" w:ascii="仿宋_GB2312" w:hAnsi="仿宋" w:eastAsia="仿宋_GB2312"/>
          <w:sz w:val="32"/>
          <w:szCs w:val="32"/>
          <w:lang w:val="en-US" w:eastAsia="zh-CN"/>
        </w:rPr>
        <w:t>-</w:t>
      </w:r>
      <w:r>
        <w:rPr>
          <w:rFonts w:hint="eastAsia" w:ascii="仿宋_GB2312" w:hAnsi="仿宋" w:eastAsia="仿宋_GB2312"/>
          <w:sz w:val="32"/>
          <w:szCs w:val="32"/>
        </w:rPr>
        <w:t>2016）中规定，茶叶中</w:t>
      </w:r>
      <w:r>
        <w:rPr>
          <w:rFonts w:hint="eastAsia" w:ascii="仿宋_GB2312" w:hAnsi="仿宋" w:eastAsia="仿宋_GB2312"/>
          <w:sz w:val="32"/>
          <w:szCs w:val="32"/>
          <w:lang w:eastAsia="zh-CN"/>
        </w:rPr>
        <w:t>的</w:t>
      </w:r>
      <w:r>
        <w:rPr>
          <w:rFonts w:hint="eastAsia" w:ascii="仿宋_GB2312" w:hAnsi="仿宋" w:eastAsia="仿宋_GB2312"/>
          <w:sz w:val="32"/>
          <w:szCs w:val="32"/>
        </w:rPr>
        <w:t>氰戊菊酯和S-氰戊菊酯</w:t>
      </w:r>
      <w:r>
        <w:rPr>
          <w:rFonts w:hint="eastAsia" w:ascii="仿宋_GB2312" w:hAnsi="仿宋" w:eastAsia="仿宋_GB2312"/>
          <w:sz w:val="32"/>
          <w:szCs w:val="32"/>
          <w:lang w:eastAsia="zh-CN"/>
        </w:rPr>
        <w:t>应</w:t>
      </w:r>
      <w:r>
        <w:rPr>
          <w:rFonts w:hint="eastAsia" w:ascii="仿宋_GB2312" w:hAnsi="仿宋" w:eastAsia="仿宋_GB2312" w:cs="仿宋"/>
          <w:sz w:val="32"/>
          <w:szCs w:val="32"/>
        </w:rPr>
        <w:t>≤</w:t>
      </w:r>
      <w:r>
        <w:rPr>
          <w:rFonts w:hint="eastAsia" w:ascii="仿宋_GB2312" w:hAnsi="仿宋" w:eastAsia="仿宋_GB2312"/>
          <w:sz w:val="32"/>
          <w:szCs w:val="32"/>
        </w:rPr>
        <w:t>0.1mg/kg。长期饮用氰戊菊酯和S-氰戊菊酯超标的茶叶，虽然不会导致急性中毒，但对人体健康造成一定的影响。茶叶中氰戊菊酯和S-氰戊菊酯超标的原因，可能是茶农违规使用相关农药，也可能是环境中残留农药的迁移性污染。</w:t>
      </w:r>
    </w:p>
    <w:p>
      <w:pPr>
        <w:rPr>
          <w:rFonts w:hint="eastAsia" w:ascii="楷体_GB2312" w:hAnsi="宋体" w:eastAsia="楷体_GB2312" w:cs="宋体"/>
          <w:b/>
          <w:kern w:val="0"/>
          <w:sz w:val="32"/>
          <w:szCs w:val="32"/>
          <w:lang w:val="en-US" w:eastAsia="zh-CN"/>
        </w:rPr>
      </w:pPr>
      <w:r>
        <w:rPr>
          <w:rFonts w:hint="eastAsia" w:ascii="楷体_GB2312" w:hAnsi="宋体" w:eastAsia="楷体_GB2312" w:cs="宋体"/>
          <w:b/>
          <w:kern w:val="0"/>
          <w:sz w:val="32"/>
          <w:szCs w:val="32"/>
          <w:lang w:val="en-US" w:eastAsia="zh-CN"/>
        </w:rPr>
        <w:t>（七）三氯杀螨醇</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 w:eastAsia="仿宋_GB2312" w:cs="宋体"/>
          <w:kern w:val="0"/>
          <w:sz w:val="32"/>
          <w:szCs w:val="32"/>
          <w:lang w:val="en-US" w:eastAsia="zh-CN" w:bidi="ar-SA"/>
        </w:rPr>
      </w:pPr>
      <w:r>
        <w:rPr>
          <w:rFonts w:hint="eastAsia" w:ascii="仿宋_GB2312" w:hAnsi="仿宋" w:eastAsia="仿宋_GB2312" w:cs="宋体"/>
          <w:kern w:val="0"/>
          <w:sz w:val="32"/>
          <w:szCs w:val="32"/>
          <w:lang w:val="en-US" w:eastAsia="zh-CN" w:bidi="ar-SA"/>
        </w:rPr>
        <w:t>三氯杀螨醇是一种广谱性有机氯杀螨剂，一般用于杀灭棉花、果树、花 卉等的螨虫，在环境中降解缓慢，蓄积性强，对环境危害较大。《食品安全国家标准 食品中农药最大残留限量》（</w:t>
      </w:r>
      <w:r>
        <w:rPr>
          <w:rFonts w:hint="default" w:ascii="仿宋_GB2312" w:hAnsi="仿宋" w:eastAsia="仿宋_GB2312" w:cs="宋体"/>
          <w:kern w:val="0"/>
          <w:sz w:val="32"/>
          <w:szCs w:val="32"/>
          <w:lang w:val="en-US" w:eastAsia="zh-CN" w:bidi="ar-SA"/>
        </w:rPr>
        <w:t>GB 2763-2021</w:t>
      </w:r>
      <w:r>
        <w:rPr>
          <w:rFonts w:hint="eastAsia" w:ascii="仿宋_GB2312" w:hAnsi="仿宋" w:eastAsia="仿宋_GB2312" w:cs="宋体"/>
          <w:kern w:val="0"/>
          <w:sz w:val="32"/>
          <w:szCs w:val="32"/>
          <w:lang w:val="en-US" w:eastAsia="zh-CN" w:bidi="ar-SA"/>
        </w:rPr>
        <w:t>）中的规定</w:t>
      </w:r>
      <w:r>
        <w:rPr>
          <w:rFonts w:hint="eastAsia" w:ascii="仿宋_GB2312" w:hAnsi="仿宋" w:cs="宋体"/>
          <w:kern w:val="0"/>
          <w:sz w:val="32"/>
          <w:szCs w:val="32"/>
          <w:lang w:val="en-US" w:eastAsia="zh-CN" w:bidi="ar-SA"/>
        </w:rPr>
        <w:t>，茶叶中三氯杀螨醇</w:t>
      </w:r>
      <w:r>
        <w:rPr>
          <w:rFonts w:hint="eastAsia" w:ascii="仿宋_GB2312" w:hAnsi="仿宋" w:eastAsia="仿宋_GB2312" w:cs="仿宋"/>
          <w:sz w:val="32"/>
          <w:szCs w:val="32"/>
        </w:rPr>
        <w:t>≤</w:t>
      </w:r>
      <w:r>
        <w:rPr>
          <w:rFonts w:hint="eastAsia" w:ascii="仿宋_GB2312" w:hAnsi="仿宋" w:eastAsia="仿宋_GB2312"/>
          <w:sz w:val="32"/>
          <w:szCs w:val="32"/>
        </w:rPr>
        <w:t>0.</w:t>
      </w:r>
      <w:r>
        <w:rPr>
          <w:rFonts w:hint="eastAsia" w:ascii="仿宋_GB2312" w:hAnsi="仿宋"/>
          <w:sz w:val="32"/>
          <w:szCs w:val="32"/>
          <w:lang w:val="en-US" w:eastAsia="zh-CN"/>
        </w:rPr>
        <w:t>0</w:t>
      </w:r>
      <w:r>
        <w:rPr>
          <w:rFonts w:hint="eastAsia" w:ascii="仿宋_GB2312" w:hAnsi="仿宋" w:eastAsia="仿宋_GB2312"/>
          <w:sz w:val="32"/>
          <w:szCs w:val="32"/>
        </w:rPr>
        <w:t>1mg/kg。</w:t>
      </w:r>
      <w:r>
        <w:rPr>
          <w:rFonts w:hint="eastAsia" w:ascii="仿宋_GB2312" w:hAnsi="仿宋" w:eastAsia="仿宋_GB2312" w:cs="宋体"/>
          <w:kern w:val="0"/>
          <w:sz w:val="32"/>
          <w:szCs w:val="32"/>
          <w:lang w:val="en-US" w:eastAsia="zh-CN" w:bidi="ar-SA"/>
        </w:rPr>
        <w:t xml:space="preserve">少量的农药残留不会引起人体急性中毒，但长期食 用三氯杀螨醇超标的食品，对人体健康可能有一定影响。 </w:t>
      </w:r>
    </w:p>
    <w:p>
      <w:pPr>
        <w:widowControl/>
        <w:spacing w:line="560" w:lineRule="exact"/>
        <w:ind w:firstLine="643" w:firstLineChars="200"/>
        <w:jc w:val="left"/>
        <w:rPr>
          <w:rFonts w:ascii="楷体_GB2312" w:hAnsi="宋体" w:eastAsia="楷体_GB2312" w:cs="宋体"/>
          <w:b/>
          <w:kern w:val="0"/>
          <w:sz w:val="32"/>
          <w:szCs w:val="32"/>
        </w:rPr>
      </w:pPr>
      <w:r>
        <w:rPr>
          <w:rFonts w:hint="eastAsia" w:ascii="楷体_GB2312" w:hAnsi="宋体" w:eastAsia="楷体_GB2312" w:cs="宋体"/>
          <w:b/>
          <w:kern w:val="0"/>
          <w:sz w:val="32"/>
          <w:szCs w:val="32"/>
        </w:rPr>
        <w:t>（</w:t>
      </w:r>
      <w:r>
        <w:rPr>
          <w:rFonts w:hint="eastAsia" w:ascii="楷体_GB2312" w:hAnsi="宋体" w:eastAsia="楷体_GB2312" w:cs="宋体"/>
          <w:b/>
          <w:kern w:val="0"/>
          <w:sz w:val="32"/>
          <w:szCs w:val="32"/>
          <w:lang w:eastAsia="zh-CN"/>
        </w:rPr>
        <w:t>八</w:t>
      </w:r>
      <w:r>
        <w:rPr>
          <w:rFonts w:hint="eastAsia" w:ascii="楷体_GB2312" w:hAnsi="宋体" w:eastAsia="楷体_GB2312" w:cs="宋体"/>
          <w:b/>
          <w:kern w:val="0"/>
          <w:sz w:val="32"/>
          <w:szCs w:val="32"/>
        </w:rPr>
        <w:t>）水分</w:t>
      </w:r>
    </w:p>
    <w:p>
      <w:pPr>
        <w:spacing w:line="560" w:lineRule="exact"/>
        <w:ind w:firstLine="645"/>
        <w:rPr>
          <w:rFonts w:ascii="仿宋_GB2312" w:hAnsi="宋体" w:eastAsia="仿宋_GB2312" w:cs="宋体"/>
          <w:kern w:val="0"/>
          <w:sz w:val="32"/>
          <w:szCs w:val="32"/>
        </w:rPr>
      </w:pPr>
      <w:r>
        <w:rPr>
          <w:rFonts w:hint="eastAsia" w:ascii="仿宋_GB2312" w:hAnsi="宋体" w:eastAsia="仿宋_GB2312" w:cs="宋体"/>
          <w:kern w:val="0"/>
          <w:sz w:val="32"/>
          <w:szCs w:val="32"/>
        </w:rPr>
        <w:t>水分属于理化指标，是食品的一个内在质量因素，各类食品的产品标准常对水分含量有明确的限值要求，水分高低反映产品的含水量。合理的水分控制，可避免产品的功效成分或营养物质分解、酶解变质、霉变等，有助于保持产品质量稳定。《食品安全国家标准 食用菌及其制品》（GB 7096-2014）中规定，香菇</w:t>
      </w:r>
      <w:r>
        <w:rPr>
          <w:rFonts w:hint="eastAsia" w:ascii="仿宋_GB2312" w:hAnsi="仿宋" w:eastAsia="仿宋_GB2312"/>
          <w:sz w:val="32"/>
          <w:szCs w:val="32"/>
        </w:rPr>
        <w:t>干制品、银耳干制品以外的其他食用菌干制品</w:t>
      </w:r>
      <w:r>
        <w:rPr>
          <w:rFonts w:hint="eastAsia" w:ascii="仿宋_GB2312" w:hAnsi="宋体" w:eastAsia="仿宋_GB2312" w:cs="宋体"/>
          <w:kern w:val="0"/>
          <w:sz w:val="32"/>
          <w:szCs w:val="32"/>
        </w:rPr>
        <w:t>水分应</w:t>
      </w:r>
      <w:r>
        <w:rPr>
          <w:rFonts w:hint="eastAsia" w:ascii="仿宋_GB2312" w:hAnsi="仿宋" w:eastAsia="仿宋_GB2312"/>
          <w:sz w:val="32"/>
          <w:szCs w:val="32"/>
        </w:rPr>
        <w:t>≤12g/100g。</w:t>
      </w:r>
      <w:r>
        <w:rPr>
          <w:rFonts w:hint="eastAsia" w:ascii="仿宋_GB2312" w:hAnsi="宋体" w:eastAsia="仿宋_GB2312" w:cs="宋体"/>
          <w:kern w:val="0"/>
          <w:sz w:val="32"/>
          <w:szCs w:val="32"/>
        </w:rPr>
        <w:t>食品的水分不合格对人体健康没有重大影响，但是，水分超标会缩短产品的保质期限，使产品易发生霉变，可能引起产品质量的下降。</w:t>
      </w:r>
    </w:p>
    <w:p>
      <w:pPr>
        <w:keepNext w:val="0"/>
        <w:keepLines w:val="0"/>
        <w:pageBreakBefore w:val="0"/>
        <w:widowControl/>
        <w:kinsoku/>
        <w:wordWrap/>
        <w:overflowPunct/>
        <w:topLinePunct w:val="0"/>
        <w:autoSpaceDE/>
        <w:autoSpaceDN/>
        <w:bidi w:val="0"/>
        <w:adjustRightInd/>
        <w:snapToGrid/>
        <w:spacing w:line="560" w:lineRule="exact"/>
        <w:ind w:firstLine="630" w:firstLineChars="196"/>
        <w:jc w:val="left"/>
        <w:textAlignment w:val="auto"/>
        <w:rPr>
          <w:rFonts w:ascii="楷体_GB2312" w:hAnsi="宋体" w:eastAsia="楷体_GB2312" w:cs="宋体"/>
          <w:b/>
          <w:color w:val="auto"/>
          <w:kern w:val="0"/>
          <w:sz w:val="32"/>
          <w:szCs w:val="32"/>
          <w:highlight w:val="none"/>
        </w:rPr>
      </w:pPr>
      <w:r>
        <w:rPr>
          <w:rFonts w:hint="eastAsia" w:ascii="楷体_GB2312" w:hAnsi="宋体" w:eastAsia="楷体_GB2312" w:cs="宋体"/>
          <w:b/>
          <w:color w:val="auto"/>
          <w:kern w:val="0"/>
          <w:sz w:val="32"/>
          <w:szCs w:val="32"/>
          <w:highlight w:val="none"/>
        </w:rPr>
        <w:t>（</w:t>
      </w:r>
      <w:r>
        <w:rPr>
          <w:rFonts w:hint="eastAsia" w:ascii="楷体_GB2312" w:hAnsi="宋体" w:eastAsia="楷体_GB2312" w:cs="宋体"/>
          <w:b/>
          <w:color w:val="auto"/>
          <w:kern w:val="0"/>
          <w:sz w:val="32"/>
          <w:szCs w:val="32"/>
          <w:highlight w:val="none"/>
          <w:lang w:val="en-US" w:eastAsia="zh-CN"/>
        </w:rPr>
        <w:t>九</w:t>
      </w:r>
      <w:r>
        <w:rPr>
          <w:rFonts w:hint="eastAsia" w:ascii="楷体_GB2312" w:hAnsi="宋体" w:eastAsia="楷体_GB2312" w:cs="宋体"/>
          <w:b/>
          <w:color w:val="auto"/>
          <w:kern w:val="0"/>
          <w:sz w:val="32"/>
          <w:szCs w:val="32"/>
          <w:highlight w:val="none"/>
        </w:rPr>
        <w:t>）</w:t>
      </w:r>
      <w:r>
        <w:rPr>
          <w:rFonts w:ascii="楷体_GB2312" w:hAnsi="宋体" w:eastAsia="楷体_GB2312" w:cs="宋体"/>
          <w:b/>
          <w:color w:val="auto"/>
          <w:kern w:val="0"/>
          <w:sz w:val="32"/>
          <w:szCs w:val="32"/>
          <w:highlight w:val="none"/>
        </w:rPr>
        <w:t>糖精钠　　</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糖精钠，又称可溶性糖精，是一种甜味剂。由于其甜度为蔗糖的300到500倍，且不被人体代谢吸收，被广泛用于饮料、果冻、酱腌菜、蜜饯、糕点、凉果</w:t>
      </w:r>
      <w:r>
        <w:rPr>
          <w:rFonts w:hint="eastAsia" w:ascii="仿宋_GB2312" w:eastAsia="仿宋_GB2312"/>
          <w:color w:val="auto"/>
          <w:sz w:val="32"/>
          <w:szCs w:val="32"/>
          <w:highlight w:val="none"/>
        </w:rPr>
        <w:t>等。</w:t>
      </w:r>
      <w:r>
        <w:rPr>
          <w:rFonts w:hint="eastAsia" w:ascii="仿宋_GB2312" w:eastAsia="仿宋_GB2312"/>
          <w:color w:val="auto"/>
          <w:sz w:val="32"/>
          <w:szCs w:val="32"/>
          <w:highlight w:val="none"/>
          <w:lang w:eastAsia="zh-CN"/>
        </w:rPr>
        <w:t>《</w:t>
      </w:r>
      <w:r>
        <w:rPr>
          <w:rFonts w:hint="eastAsia" w:ascii="仿宋_GB2312" w:eastAsia="仿宋_GB2312"/>
          <w:sz w:val="32"/>
          <w:szCs w:val="32"/>
          <w:highlight w:val="none"/>
          <w:lang w:eastAsia="zh-CN"/>
        </w:rPr>
        <w:t>食品安全国家标准</w:t>
      </w:r>
      <w:r>
        <w:rPr>
          <w:rFonts w:hint="eastAsia" w:ascii="仿宋_GB2312" w:eastAsia="仿宋_GB2312"/>
          <w:sz w:val="32"/>
          <w:szCs w:val="32"/>
          <w:highlight w:val="none"/>
          <w:lang w:val="en-US" w:eastAsia="zh-CN"/>
        </w:rPr>
        <w:t xml:space="preserve"> 食品添加剂使用标准</w:t>
      </w:r>
      <w:r>
        <w:rPr>
          <w:rFonts w:hint="eastAsia" w:ascii="仿宋_GB2312" w:eastAsia="仿宋_GB2312"/>
          <w:sz w:val="32"/>
          <w:szCs w:val="32"/>
          <w:highlight w:val="none"/>
          <w:lang w:eastAsia="zh-CN"/>
        </w:rPr>
        <w:t>》</w:t>
      </w:r>
      <w:r>
        <w:rPr>
          <w:rFonts w:hint="eastAsia" w:ascii="仿宋_GB2312" w:hAnsi="仿宋" w:eastAsia="仿宋_GB2312"/>
          <w:color w:val="auto"/>
          <w:spacing w:val="-6"/>
          <w:sz w:val="32"/>
          <w:szCs w:val="32"/>
          <w:highlight w:val="none"/>
        </w:rPr>
        <w:t>（GB</w:t>
      </w:r>
      <w:r>
        <w:rPr>
          <w:rFonts w:hint="eastAsia" w:ascii="仿宋_GB2312" w:hAnsi="仿宋" w:eastAsia="仿宋_GB2312"/>
          <w:color w:val="auto"/>
          <w:sz w:val="32"/>
          <w:szCs w:val="32"/>
          <w:highlight w:val="none"/>
        </w:rPr>
        <w:t xml:space="preserve"> 2760-2014）中规定</w:t>
      </w:r>
      <w:r>
        <w:rPr>
          <w:rFonts w:hint="eastAsia" w:ascii="仿宋_GB2312" w:hAnsi="仿宋" w:eastAsia="仿宋_GB2312"/>
          <w:color w:val="auto"/>
          <w:sz w:val="32"/>
          <w:szCs w:val="32"/>
          <w:highlight w:val="none"/>
          <w:lang w:eastAsia="zh-CN"/>
        </w:rPr>
        <w:t>，</w:t>
      </w:r>
      <w:r>
        <w:rPr>
          <w:rFonts w:hint="eastAsia" w:ascii="仿宋_GB2312" w:hAnsi="仿宋"/>
          <w:color w:val="auto"/>
          <w:sz w:val="32"/>
          <w:szCs w:val="32"/>
          <w:highlight w:val="none"/>
          <w:lang w:eastAsia="zh-CN"/>
        </w:rPr>
        <w:t>冷冻饮品（食用冰除外）中糖精钠(以糖精计)应</w:t>
      </w:r>
      <w:r>
        <w:rPr>
          <w:rFonts w:hint="eastAsia" w:ascii="仿宋_GB2312" w:hAnsi="仿宋" w:eastAsia="仿宋_GB2312"/>
          <w:sz w:val="32"/>
          <w:szCs w:val="32"/>
        </w:rPr>
        <w:t>≤</w:t>
      </w:r>
      <w:r>
        <w:rPr>
          <w:rFonts w:hint="eastAsia" w:ascii="仿宋_GB2312" w:hAnsi="仿宋"/>
          <w:sz w:val="32"/>
          <w:szCs w:val="32"/>
          <w:lang w:val="en-US" w:eastAsia="zh-CN"/>
        </w:rPr>
        <w:t>0.15</w:t>
      </w:r>
      <w:r>
        <w:rPr>
          <w:rFonts w:hint="eastAsia" w:ascii="仿宋_GB2312" w:hAnsi="仿宋" w:eastAsia="仿宋_GB2312"/>
          <w:sz w:val="32"/>
          <w:szCs w:val="32"/>
        </w:rPr>
        <w:t>g/</w:t>
      </w:r>
      <w:r>
        <w:rPr>
          <w:rFonts w:hint="eastAsia" w:ascii="仿宋_GB2312" w:hAnsi="仿宋"/>
          <w:sz w:val="32"/>
          <w:szCs w:val="32"/>
          <w:lang w:val="en-US" w:eastAsia="zh-CN"/>
        </w:rPr>
        <w:t>k</w:t>
      </w:r>
      <w:r>
        <w:rPr>
          <w:rFonts w:hint="eastAsia" w:ascii="仿宋_GB2312" w:hAnsi="仿宋" w:eastAsia="仿宋_GB2312"/>
          <w:sz w:val="32"/>
          <w:szCs w:val="32"/>
        </w:rPr>
        <w:t>g</w:t>
      </w:r>
      <w:r>
        <w:rPr>
          <w:rFonts w:hint="eastAsia" w:ascii="仿宋_GB2312" w:hAnsi="仿宋" w:eastAsia="仿宋_GB2312"/>
          <w:color w:val="auto"/>
          <w:sz w:val="32"/>
          <w:szCs w:val="32"/>
          <w:highlight w:val="none"/>
          <w:lang w:eastAsia="zh-CN"/>
        </w:rPr>
        <w:t>。</w:t>
      </w:r>
      <w:r>
        <w:rPr>
          <w:rFonts w:hint="eastAsia" w:ascii="仿宋_GB2312" w:eastAsia="仿宋_GB2312"/>
          <w:sz w:val="32"/>
          <w:szCs w:val="32"/>
          <w:highlight w:val="none"/>
        </w:rPr>
        <w:t>个别企业为了追逐利润，仍出现不合格产品，其不合格的主要原因为：原辅材料质量控制不严，盲目使用一些成份不明确的复合添加剂，造成糖精钠超标。不合理使用糖精钠，会对人体健康产生不良影响，尤其少年儿童免疫系统发育尚不成熟，肝脏代谢排毒能力相对较弱，危害更加明显。</w:t>
      </w:r>
    </w:p>
    <w:p>
      <w:pPr>
        <w:spacing w:line="560" w:lineRule="exact"/>
        <w:ind w:firstLine="643" w:firstLineChars="200"/>
        <w:rPr>
          <w:rFonts w:ascii="楷体_GB2312" w:hAnsi="楷体" w:eastAsia="楷体_GB2312" w:cs="仿宋_GB2312"/>
          <w:b/>
          <w:sz w:val="32"/>
          <w:szCs w:val="32"/>
        </w:rPr>
      </w:pPr>
      <w:r>
        <w:rPr>
          <w:rFonts w:hint="eastAsia" w:ascii="楷体_GB2312" w:hAnsi="楷体" w:eastAsia="楷体_GB2312" w:cs="仿宋_GB2312"/>
          <w:b/>
          <w:sz w:val="32"/>
          <w:szCs w:val="32"/>
          <w:lang w:eastAsia="zh-CN"/>
        </w:rPr>
        <w:t>（十）</w:t>
      </w:r>
      <w:r>
        <w:rPr>
          <w:rFonts w:hint="eastAsia" w:ascii="楷体_GB2312" w:hAnsi="楷体" w:eastAsia="楷体_GB2312" w:cs="仿宋_GB2312"/>
          <w:b/>
          <w:sz w:val="32"/>
          <w:szCs w:val="32"/>
        </w:rPr>
        <w:t>二氧化硫残留量</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食品中的二氧化硫残留通常是指二氧化硫以及焦亚硫酸钠、焦亚硫酸钾、亚硫酸</w:t>
      </w:r>
      <w:r>
        <w:rPr>
          <w:rFonts w:hint="eastAsia" w:ascii="仿宋_GB2312" w:hAnsi="仿宋" w:eastAsia="仿宋_GB2312" w:cs="宋体"/>
          <w:kern w:val="0"/>
          <w:sz w:val="32"/>
          <w:szCs w:val="32"/>
        </w:rPr>
        <w:t>钠、亚</w:t>
      </w:r>
      <w:r>
        <w:rPr>
          <w:rFonts w:hint="eastAsia" w:ascii="仿宋_GB2312" w:hAnsi="仿宋" w:eastAsia="仿宋_GB2312" w:cs="宋体"/>
          <w:color w:val="000000"/>
          <w:kern w:val="0"/>
          <w:sz w:val="32"/>
          <w:szCs w:val="32"/>
        </w:rPr>
        <w:t>硫酸氢钠、低亚硫酸钠等无机亚硫酸盐残留的统称。</w:t>
      </w:r>
      <w:r>
        <w:rPr>
          <w:rFonts w:hint="eastAsia" w:ascii="仿宋_GB2312" w:hAnsi="仿宋" w:eastAsia="仿宋_GB2312"/>
          <w:spacing w:val="14"/>
          <w:sz w:val="32"/>
          <w:szCs w:val="32"/>
        </w:rPr>
        <w:t>《食品安全国家标准 食品添加剂使用标准》</w:t>
      </w:r>
      <w:r>
        <w:rPr>
          <w:rFonts w:hint="eastAsia" w:ascii="仿宋_GB2312" w:hAnsi="仿宋" w:eastAsia="仿宋_GB2312"/>
          <w:spacing w:val="-6"/>
          <w:sz w:val="32"/>
          <w:szCs w:val="32"/>
        </w:rPr>
        <w:t>（GB</w:t>
      </w:r>
      <w:r>
        <w:rPr>
          <w:rFonts w:hint="eastAsia" w:ascii="仿宋_GB2312" w:hAnsi="仿宋" w:eastAsia="仿宋_GB2312"/>
          <w:sz w:val="32"/>
          <w:szCs w:val="32"/>
        </w:rPr>
        <w:t xml:space="preserve"> 2760-2014）中规定，干制蔬菜中二氧化硫残留量应≤0.2 g/kg</w:t>
      </w:r>
      <w:r>
        <w:rPr>
          <w:rFonts w:hint="eastAsia" w:ascii="仿宋_GB2312" w:hAnsi="仿宋" w:eastAsia="仿宋_GB2312"/>
          <w:sz w:val="32"/>
          <w:szCs w:val="32"/>
          <w:lang w:val="en-US" w:eastAsia="zh-CN"/>
        </w:rPr>
        <w:t>。</w:t>
      </w:r>
      <w:r>
        <w:rPr>
          <w:rFonts w:ascii="仿宋_GB2312" w:hAnsi="仿宋" w:eastAsia="仿宋_GB2312" w:cs="宋体"/>
          <w:kern w:val="0"/>
          <w:sz w:val="32"/>
          <w:szCs w:val="32"/>
          <w:lang w:val="zh-CN"/>
        </w:rPr>
        <w:t>摄入少量二氧化硫，可在人体内经酶转化后由尿液排出体外，一般不会对人体健康造成不良影响，</w:t>
      </w:r>
      <w:r>
        <w:rPr>
          <w:rFonts w:hint="eastAsia" w:ascii="仿宋_GB2312" w:hAnsi="仿宋" w:eastAsia="仿宋_GB2312" w:cs="宋体"/>
          <w:color w:val="000000"/>
          <w:kern w:val="0"/>
          <w:sz w:val="32"/>
          <w:szCs w:val="32"/>
        </w:rPr>
        <w:t>若长期大量摄入二氧化硫残留超标的食品，则可能对人体健康造成危害，其毒性表现为胃肠道反应，如恶心、呕吐等。此外，还会影响钙吸收，使机体钙丢失。</w:t>
      </w:r>
    </w:p>
    <w:p>
      <w:pPr>
        <w:autoSpaceDN w:val="0"/>
        <w:ind w:firstLine="643" w:firstLineChars="200"/>
        <w:rPr>
          <w:rFonts w:ascii="楷体_GB2312" w:hAnsi="楷体" w:eastAsia="楷体_GB2312" w:cs="仿宋_GB2312"/>
          <w:b/>
          <w:sz w:val="32"/>
          <w:szCs w:val="32"/>
        </w:rPr>
      </w:pPr>
      <w:r>
        <w:rPr>
          <w:rFonts w:hint="eastAsia" w:ascii="楷体_GB2312" w:hAnsi="楷体" w:eastAsia="楷体_GB2312" w:cs="仿宋_GB2312"/>
          <w:b/>
          <w:color w:val="000000"/>
          <w:sz w:val="32"/>
          <w:szCs w:val="32"/>
        </w:rPr>
        <w:t>（</w:t>
      </w:r>
      <w:r>
        <w:rPr>
          <w:rFonts w:hint="eastAsia" w:ascii="楷体_GB2312" w:hAnsi="楷体" w:eastAsia="楷体_GB2312" w:cs="仿宋_GB2312"/>
          <w:b/>
          <w:color w:val="000000"/>
          <w:sz w:val="32"/>
          <w:szCs w:val="32"/>
          <w:lang w:eastAsia="zh-CN"/>
        </w:rPr>
        <w:t>十一</w:t>
      </w:r>
      <w:r>
        <w:rPr>
          <w:rFonts w:hint="eastAsia" w:ascii="楷体_GB2312" w:hAnsi="楷体" w:eastAsia="楷体_GB2312" w:cs="仿宋_GB2312"/>
          <w:b/>
          <w:color w:val="000000"/>
          <w:sz w:val="32"/>
          <w:szCs w:val="32"/>
        </w:rPr>
        <w:t>）</w:t>
      </w:r>
      <w:r>
        <w:rPr>
          <w:rFonts w:hint="eastAsia" w:ascii="楷体_GB2312" w:hAnsi="楷体" w:eastAsia="楷体_GB2312" w:cs="仿宋_GB2312"/>
          <w:b/>
          <w:sz w:val="32"/>
          <w:szCs w:val="32"/>
        </w:rPr>
        <w:t>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olor w:val="auto"/>
          <w:sz w:val="32"/>
          <w:szCs w:val="32"/>
        </w:rPr>
      </w:pPr>
      <w:r>
        <w:rPr>
          <w:rFonts w:hint="eastAsia" w:ascii="仿宋_GB2312" w:hAnsi="仿宋" w:eastAsia="仿宋_GB2312"/>
          <w:color w:val="auto"/>
          <w:sz w:val="32"/>
          <w:szCs w:val="32"/>
        </w:rPr>
        <w:t>铅是一种能够在生物体内蓄积且排除缓慢的重金属污染物。《食品安全国家标准 食品中污染物限量》（GB 2762-2017）中规定，</w:t>
      </w:r>
      <w:r>
        <w:rPr>
          <w:rFonts w:hint="eastAsia" w:ascii="仿宋_GB2312" w:hAnsi="仿宋" w:eastAsia="仿宋_GB2312"/>
          <w:sz w:val="32"/>
          <w:szCs w:val="32"/>
        </w:rPr>
        <w:t>干制蔬菜中的铅(以Pb计)应≤0.1/(1-脱水率)(mg/kg)</w:t>
      </w:r>
      <w:r>
        <w:rPr>
          <w:rFonts w:hint="eastAsia" w:ascii="仿宋_GB2312" w:hAnsi="仿宋"/>
          <w:sz w:val="32"/>
          <w:szCs w:val="32"/>
          <w:lang w:eastAsia="zh-CN"/>
        </w:rPr>
        <w:t>，薯类干制品的铅</w:t>
      </w:r>
      <w:r>
        <w:rPr>
          <w:rFonts w:hint="eastAsia" w:ascii="仿宋_GB2312" w:hAnsi="仿宋" w:eastAsia="仿宋_GB2312"/>
          <w:sz w:val="32"/>
          <w:szCs w:val="32"/>
        </w:rPr>
        <w:t>(以Pb计)应≤0.</w:t>
      </w:r>
      <w:r>
        <w:rPr>
          <w:rFonts w:hint="eastAsia" w:ascii="仿宋_GB2312" w:hAnsi="仿宋"/>
          <w:sz w:val="32"/>
          <w:szCs w:val="32"/>
          <w:lang w:val="en-US" w:eastAsia="zh-CN"/>
        </w:rPr>
        <w:t>2</w:t>
      </w:r>
      <w:r>
        <w:rPr>
          <w:rFonts w:hint="eastAsia" w:ascii="仿宋_GB2312" w:hAnsi="仿宋" w:eastAsia="仿宋_GB2312"/>
          <w:sz w:val="32"/>
          <w:szCs w:val="32"/>
        </w:rPr>
        <w:t>/(1-脱水率)(mg/kg)</w:t>
      </w:r>
      <w:r>
        <w:rPr>
          <w:rFonts w:hint="eastAsia" w:ascii="仿宋_GB2312" w:hAnsi="仿宋" w:eastAsia="仿宋_GB2312"/>
          <w:color w:val="auto"/>
          <w:sz w:val="32"/>
          <w:szCs w:val="32"/>
        </w:rPr>
        <w:t>。铅蓄积在体内可能会影响大脑和神经系统，尤其会对儿童造成智力发育障碍和表现行为异常。</w:t>
      </w:r>
    </w:p>
    <w:p>
      <w:pPr>
        <w:spacing w:line="560" w:lineRule="exact"/>
        <w:ind w:firstLine="643" w:firstLineChars="200"/>
        <w:rPr>
          <w:rFonts w:ascii="楷体_GB2312" w:hAnsi="楷体" w:eastAsia="楷体_GB2312" w:cs="Arial"/>
          <w:b/>
          <w:sz w:val="32"/>
          <w:szCs w:val="32"/>
          <w:shd w:val="clear" w:color="auto" w:fill="FFFFFF"/>
        </w:rPr>
      </w:pPr>
      <w:r>
        <w:rPr>
          <w:rFonts w:hint="eastAsia" w:ascii="楷体_GB2312" w:hAnsi="楷体" w:eastAsia="楷体_GB2312" w:cs="Arial"/>
          <w:b/>
          <w:sz w:val="32"/>
          <w:szCs w:val="32"/>
          <w:shd w:val="clear" w:color="auto" w:fill="FFFFFF"/>
        </w:rPr>
        <w:t>（十</w:t>
      </w:r>
      <w:r>
        <w:rPr>
          <w:rFonts w:hint="eastAsia" w:ascii="楷体_GB2312" w:hAnsi="楷体" w:eastAsia="楷体_GB2312" w:cs="Arial"/>
          <w:b/>
          <w:sz w:val="32"/>
          <w:szCs w:val="32"/>
          <w:shd w:val="clear" w:color="auto" w:fill="FFFFFF"/>
          <w:lang w:eastAsia="zh-CN"/>
        </w:rPr>
        <w:t>二</w:t>
      </w:r>
      <w:r>
        <w:rPr>
          <w:rFonts w:hint="eastAsia" w:ascii="楷体_GB2312" w:hAnsi="楷体" w:eastAsia="楷体_GB2312" w:cs="Arial"/>
          <w:b/>
          <w:sz w:val="32"/>
          <w:szCs w:val="32"/>
          <w:shd w:val="clear" w:color="auto" w:fill="FFFFFF"/>
        </w:rPr>
        <w:t>）氧乐果</w:t>
      </w:r>
    </w:p>
    <w:p>
      <w:pPr>
        <w:spacing w:line="560" w:lineRule="exact"/>
        <w:ind w:firstLine="640" w:firstLineChars="200"/>
        <w:rPr>
          <w:rFonts w:ascii="仿宋_GB2312" w:hAnsi="楷体" w:eastAsia="仿宋_GB2312" w:cs="Arial"/>
          <w:b/>
          <w:color w:val="auto"/>
          <w:sz w:val="32"/>
          <w:szCs w:val="32"/>
          <w:shd w:val="clear" w:color="auto" w:fill="FFFFFF"/>
        </w:rPr>
      </w:pPr>
      <w:r>
        <w:rPr>
          <w:rFonts w:hint="eastAsia" w:ascii="仿宋_GB2312" w:hAnsi="仿宋" w:eastAsia="仿宋_GB2312"/>
          <w:color w:val="auto"/>
          <w:sz w:val="32"/>
          <w:szCs w:val="32"/>
        </w:rPr>
        <w:t>氧乐果是一种内吸性强，杀虫活性高的杀虫剂。《食品安全国家标准 食品中农药最大残留限量》（GB 2763-20</w:t>
      </w:r>
      <w:r>
        <w:rPr>
          <w:rFonts w:hint="eastAsia" w:ascii="仿宋_GB2312" w:hAnsi="仿宋"/>
          <w:color w:val="auto"/>
          <w:sz w:val="32"/>
          <w:szCs w:val="32"/>
          <w:lang w:val="en-US" w:eastAsia="zh-CN"/>
        </w:rPr>
        <w:t>19</w:t>
      </w:r>
      <w:r>
        <w:rPr>
          <w:rFonts w:hint="eastAsia" w:ascii="仿宋_GB2312" w:hAnsi="仿宋" w:eastAsia="仿宋_GB2312"/>
          <w:color w:val="auto"/>
          <w:sz w:val="32"/>
          <w:szCs w:val="32"/>
        </w:rPr>
        <w:t>）中规定，</w:t>
      </w:r>
      <w:r>
        <w:rPr>
          <w:rFonts w:hint="eastAsia" w:ascii="仿宋_GB2312" w:hAnsi="仿宋"/>
          <w:color w:val="auto"/>
          <w:sz w:val="32"/>
          <w:szCs w:val="32"/>
          <w:lang w:eastAsia="zh-CN"/>
        </w:rPr>
        <w:t>茶叶中</w:t>
      </w:r>
      <w:r>
        <w:rPr>
          <w:rFonts w:hint="eastAsia" w:ascii="仿宋_GB2312" w:hAnsi="仿宋" w:eastAsia="仿宋_GB2312"/>
          <w:color w:val="auto"/>
          <w:sz w:val="32"/>
          <w:szCs w:val="32"/>
        </w:rPr>
        <w:t>中氧乐果应≤0.0</w:t>
      </w:r>
      <w:r>
        <w:rPr>
          <w:rFonts w:hint="eastAsia" w:ascii="仿宋_GB2312" w:hAnsi="仿宋"/>
          <w:color w:val="auto"/>
          <w:sz w:val="32"/>
          <w:szCs w:val="32"/>
          <w:lang w:val="en-US" w:eastAsia="zh-CN"/>
        </w:rPr>
        <w:t>5</w:t>
      </w:r>
      <w:r>
        <w:rPr>
          <w:rFonts w:hint="eastAsia" w:ascii="仿宋_GB2312" w:hAnsi="仿宋" w:eastAsia="仿宋_GB2312"/>
          <w:color w:val="auto"/>
          <w:sz w:val="32"/>
          <w:szCs w:val="32"/>
        </w:rPr>
        <w:t>mg/kg。大部分喷洒的氧乐果会逸散在周围的土壤、大气、水体中，造成生态系统的污染，有可能会对环境生物</w:t>
      </w:r>
      <w:bookmarkStart w:id="0" w:name="_GoBack"/>
      <w:bookmarkEnd w:id="0"/>
      <w:r>
        <w:rPr>
          <w:rFonts w:hint="eastAsia" w:ascii="仿宋_GB2312" w:hAnsi="仿宋" w:eastAsia="仿宋_GB2312"/>
          <w:color w:val="auto"/>
          <w:sz w:val="32"/>
          <w:szCs w:val="32"/>
        </w:rPr>
        <w:t>产生潜在危害；</w:t>
      </w:r>
      <w:r>
        <w:rPr>
          <w:rFonts w:hint="eastAsia" w:ascii="仿宋_GB2312" w:hAnsi="仿宋"/>
          <w:color w:val="auto"/>
          <w:sz w:val="32"/>
          <w:szCs w:val="32"/>
          <w:lang w:eastAsia="zh-CN"/>
        </w:rPr>
        <w:t>食品</w:t>
      </w:r>
      <w:r>
        <w:rPr>
          <w:rFonts w:hint="eastAsia" w:ascii="仿宋_GB2312" w:hAnsi="仿宋" w:eastAsia="仿宋_GB2312"/>
          <w:color w:val="auto"/>
          <w:sz w:val="32"/>
          <w:szCs w:val="32"/>
        </w:rPr>
        <w:t>中残留的氧乐果进入人体后对体内胆碱酯酶有抑制作用，可能会对人体造成各种急慢性毒性，甚至致癌致突变。</w:t>
      </w:r>
    </w:p>
    <w:p>
      <w:pPr>
        <w:spacing w:line="560" w:lineRule="exact"/>
        <w:ind w:firstLine="643" w:firstLineChars="200"/>
        <w:rPr>
          <w:rFonts w:hint="eastAsia" w:ascii="楷体_GB2312" w:hAnsi="楷体" w:eastAsia="楷体_GB2312" w:cs="Arial"/>
          <w:b/>
          <w:sz w:val="32"/>
          <w:szCs w:val="32"/>
          <w:shd w:val="clear" w:color="auto" w:fill="FFFFFF"/>
          <w:lang w:val="en-US" w:eastAsia="zh-CN"/>
        </w:rPr>
      </w:pPr>
      <w:r>
        <w:rPr>
          <w:rFonts w:hint="eastAsia" w:ascii="楷体_GB2312" w:hAnsi="楷体" w:eastAsia="楷体_GB2312" w:cs="Arial"/>
          <w:b/>
          <w:sz w:val="32"/>
          <w:szCs w:val="32"/>
          <w:shd w:val="clear" w:color="auto" w:fill="FFFFFF"/>
          <w:lang w:val="en-US" w:eastAsia="zh-CN"/>
        </w:rPr>
        <w:t>（十三）水胺硫磷</w:t>
      </w:r>
    </w:p>
    <w:p>
      <w:pPr>
        <w:widowControl/>
        <w:shd w:val="clear" w:color="auto" w:fill="FEFEFE"/>
        <w:spacing w:line="560" w:lineRule="exact"/>
        <w:rPr>
          <w:rFonts w:hint="default"/>
          <w:lang w:val="en-US" w:eastAsia="zh-CN"/>
        </w:rPr>
      </w:pPr>
      <w:r>
        <w:rPr>
          <w:rFonts w:hint="eastAsia" w:ascii="仿宋_GB2312" w:hAnsi="仿宋" w:eastAsia="仿宋_GB2312" w:cs="宋体"/>
          <w:kern w:val="0"/>
          <w:sz w:val="32"/>
          <w:szCs w:val="32"/>
          <w:lang w:val="zh-CN"/>
        </w:rPr>
        <w:t>水胺硫磷为有机磷杀虫剂，兼具胃毒和杀卵作用，主要用于防治果树、水稻和棉花虫害。《食品安全国家标准</w:t>
      </w:r>
      <w:r>
        <w:rPr>
          <w:rFonts w:hint="eastAsia" w:ascii="仿宋_GB2312" w:hAnsi="仿宋" w:eastAsia="仿宋_GB2312" w:cs="宋体"/>
          <w:kern w:val="0"/>
          <w:sz w:val="32"/>
          <w:szCs w:val="32"/>
        </w:rPr>
        <w:t xml:space="preserve"> </w:t>
      </w:r>
      <w:r>
        <w:rPr>
          <w:rFonts w:hint="eastAsia" w:ascii="仿宋_GB2312" w:hAnsi="仿宋" w:eastAsia="仿宋_GB2312" w:cs="宋体"/>
          <w:kern w:val="0"/>
          <w:sz w:val="32"/>
          <w:szCs w:val="32"/>
          <w:lang w:val="zh-CN"/>
        </w:rPr>
        <w:t>食品中农药最大残留限量》（GB 2763-20</w:t>
      </w:r>
      <w:r>
        <w:rPr>
          <w:rFonts w:hint="eastAsia" w:ascii="仿宋_GB2312" w:hAnsi="仿宋" w:cs="宋体"/>
          <w:kern w:val="0"/>
          <w:sz w:val="32"/>
          <w:szCs w:val="32"/>
          <w:lang w:val="en-US" w:eastAsia="zh-CN"/>
        </w:rPr>
        <w:t>21</w:t>
      </w:r>
      <w:r>
        <w:rPr>
          <w:rFonts w:hint="eastAsia" w:ascii="仿宋_GB2312" w:hAnsi="仿宋" w:eastAsia="仿宋_GB2312" w:cs="宋体"/>
          <w:kern w:val="0"/>
          <w:sz w:val="32"/>
          <w:szCs w:val="32"/>
          <w:lang w:val="zh-CN"/>
        </w:rPr>
        <w:t>）中规定，</w:t>
      </w:r>
      <w:r>
        <w:rPr>
          <w:rFonts w:hint="eastAsia" w:ascii="仿宋_GB2312" w:hAnsi="仿宋" w:cs="宋体"/>
          <w:kern w:val="0"/>
          <w:sz w:val="32"/>
          <w:szCs w:val="32"/>
          <w:lang w:val="zh-CN"/>
        </w:rPr>
        <w:t>鳞茎类</w:t>
      </w:r>
      <w:r>
        <w:rPr>
          <w:rFonts w:hint="eastAsia" w:ascii="仿宋_GB2312" w:hAnsi="仿宋" w:eastAsia="仿宋_GB2312" w:cs="宋体"/>
          <w:kern w:val="0"/>
          <w:sz w:val="32"/>
          <w:szCs w:val="32"/>
          <w:lang w:val="zh-CN"/>
        </w:rPr>
        <w:t>蔬菜中水胺硫磷</w:t>
      </w:r>
      <w:r>
        <w:rPr>
          <w:rFonts w:hint="eastAsia" w:ascii="仿宋_GB2312" w:hAnsi="仿宋" w:cs="宋体"/>
          <w:kern w:val="0"/>
          <w:sz w:val="32"/>
          <w:szCs w:val="32"/>
          <w:lang w:val="zh-CN"/>
        </w:rPr>
        <w:t>应</w:t>
      </w:r>
      <w:r>
        <w:rPr>
          <w:rFonts w:hint="eastAsia" w:ascii="仿宋_GB2312" w:hAnsi="仿宋_GB2312" w:eastAsia="仿宋_GB2312" w:cs="仿宋_GB2312"/>
          <w:kern w:val="2"/>
          <w:sz w:val="32"/>
          <w:szCs w:val="32"/>
          <w:lang w:val="en-US" w:eastAsia="zh-CN" w:bidi="ar-SA"/>
        </w:rPr>
        <w:t>≤</w:t>
      </w:r>
      <w:r>
        <w:rPr>
          <w:rFonts w:hint="eastAsia" w:ascii="仿宋_GB2312" w:hAnsi="仿宋" w:eastAsia="仿宋_GB2312" w:cs="宋体"/>
          <w:kern w:val="0"/>
          <w:sz w:val="32"/>
          <w:szCs w:val="32"/>
          <w:lang w:val="zh-CN"/>
        </w:rPr>
        <w:t>0.05mg/kg。水胺硫磷属于高毒农药，主要通过食道、皮肤和呼吸道引起中毒。少量的农药残留不会引起人体急性中毒，但长期食用农药残留超标的食品，对人体健康有一定影响。</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ascii="黑体" w:hAnsi="黑体" w:eastAsia="黑体" w:cs="仿宋_GB2312"/>
          <w:color w:val="auto"/>
          <w:sz w:val="32"/>
          <w:szCs w:val="32"/>
        </w:rPr>
        <w:t>二、建议</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707" w:firstLineChars="220"/>
        <w:textAlignment w:val="auto"/>
        <w:rPr>
          <w:rFonts w:ascii="楷体_GB2312" w:hAnsi="楷体" w:eastAsia="楷体_GB2312"/>
          <w:b/>
          <w:color w:val="auto"/>
          <w:sz w:val="32"/>
          <w:szCs w:val="32"/>
        </w:rPr>
      </w:pPr>
      <w:r>
        <w:rPr>
          <w:rFonts w:hint="eastAsia" w:ascii="楷体_GB2312" w:hAnsi="楷体" w:eastAsia="楷体_GB2312"/>
          <w:b/>
          <w:color w:val="auto"/>
          <w:sz w:val="32"/>
          <w:szCs w:val="32"/>
        </w:rPr>
        <w:t>（一）加强原辅料的把控</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color w:val="auto"/>
          <w:sz w:val="32"/>
          <w:szCs w:val="32"/>
        </w:rPr>
      </w:pPr>
      <w:r>
        <w:rPr>
          <w:rFonts w:hint="eastAsia" w:ascii="仿宋_GB2312" w:hAnsi="仿宋" w:eastAsia="仿宋_GB2312"/>
          <w:color w:val="auto"/>
          <w:sz w:val="32"/>
          <w:szCs w:val="32"/>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pStyle w:val="9"/>
        <w:keepNext w:val="0"/>
        <w:keepLines w:val="0"/>
        <w:pageBreakBefore w:val="0"/>
        <w:numPr>
          <w:ilvl w:val="0"/>
          <w:numId w:val="1"/>
        </w:numPr>
        <w:shd w:val="clear" w:color="auto" w:fill="FFFFFF"/>
        <w:kinsoku/>
        <w:wordWrap/>
        <w:overflowPunct/>
        <w:topLinePunct w:val="0"/>
        <w:autoSpaceDE/>
        <w:autoSpaceDN/>
        <w:bidi w:val="0"/>
        <w:adjustRightInd/>
        <w:snapToGrid/>
        <w:spacing w:before="0" w:beforeAutospacing="0" w:after="0" w:afterAutospacing="0" w:line="560" w:lineRule="exact"/>
        <w:ind w:left="961" w:leftChars="200" w:hanging="321" w:hangingChars="100"/>
        <w:textAlignment w:val="auto"/>
        <w:rPr>
          <w:rFonts w:hint="eastAsia" w:ascii="楷体_GB2312" w:hAnsi="楷体" w:eastAsia="楷体_GB2312"/>
          <w:b/>
          <w:color w:val="auto"/>
          <w:sz w:val="32"/>
          <w:szCs w:val="32"/>
        </w:rPr>
      </w:pPr>
      <w:r>
        <w:rPr>
          <w:rFonts w:hint="eastAsia" w:ascii="楷体_GB2312" w:hAnsi="楷体" w:eastAsia="楷体_GB2312"/>
          <w:b/>
          <w:color w:val="auto"/>
          <w:sz w:val="32"/>
          <w:szCs w:val="32"/>
        </w:rPr>
        <w:t>加强</w:t>
      </w:r>
      <w:r>
        <w:rPr>
          <w:rFonts w:hint="eastAsia" w:ascii="楷体_GB2312" w:hAnsi="楷体" w:eastAsia="楷体_GB2312"/>
          <w:b/>
          <w:color w:val="auto"/>
          <w:sz w:val="32"/>
          <w:szCs w:val="32"/>
          <w:lang w:eastAsia="zh-CN"/>
        </w:rPr>
        <w:t>运输、存储环境</w:t>
      </w:r>
      <w:r>
        <w:rPr>
          <w:rFonts w:hint="eastAsia" w:ascii="楷体_GB2312" w:hAnsi="楷体" w:eastAsia="楷体_GB2312"/>
          <w:b/>
          <w:color w:val="auto"/>
          <w:sz w:val="32"/>
          <w:szCs w:val="32"/>
        </w:rPr>
        <w:t>控制</w:t>
      </w:r>
    </w:p>
    <w:p>
      <w:pPr>
        <w:pStyle w:val="9"/>
        <w:shd w:val="clear" w:color="auto" w:fill="FFFFFF"/>
        <w:spacing w:before="0" w:beforeAutospacing="0" w:after="0" w:afterAutospacing="0" w:line="560" w:lineRule="exact"/>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食品经营者应保证运输和装卸食品的容器、工具和设备清洁、无害，保证食品的经营环境和储存环境等符合与食品所需的环境，并及时清理变质、超过保质期及其他不符合标准要求的食品；针对特殊贮存要求的食品，食品经营者在运输、贮藏时应当符合食品安全所需要的温度、空间隔离等特殊要求，防止交叉污染。</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textAlignment w:val="auto"/>
        <w:rPr>
          <w:rFonts w:ascii="楷体_GB2312" w:hAnsi="楷体" w:eastAsia="楷体_GB2312"/>
          <w:b/>
          <w:color w:val="auto"/>
          <w:sz w:val="32"/>
          <w:szCs w:val="32"/>
        </w:rPr>
      </w:pPr>
      <w:r>
        <w:rPr>
          <w:rFonts w:hint="eastAsia" w:ascii="楷体_GB2312" w:hAnsi="楷体" w:eastAsia="楷体_GB2312"/>
          <w:b/>
          <w:color w:val="auto"/>
          <w:sz w:val="32"/>
          <w:szCs w:val="32"/>
        </w:rPr>
        <w:t>（</w:t>
      </w:r>
      <w:r>
        <w:rPr>
          <w:rFonts w:hint="eastAsia" w:ascii="楷体_GB2312" w:hAnsi="楷体" w:eastAsia="楷体_GB2312"/>
          <w:b/>
          <w:color w:val="auto"/>
          <w:sz w:val="32"/>
          <w:szCs w:val="32"/>
          <w:lang w:eastAsia="zh-CN"/>
        </w:rPr>
        <w:t>三</w:t>
      </w:r>
      <w:r>
        <w:rPr>
          <w:rFonts w:hint="eastAsia" w:ascii="楷体_GB2312" w:hAnsi="楷体" w:eastAsia="楷体_GB2312"/>
          <w:b/>
          <w:color w:val="auto"/>
          <w:sz w:val="32"/>
          <w:szCs w:val="32"/>
        </w:rPr>
        <w:t>）加强食品出厂检验</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eastAsia="仿宋_GB2312"/>
          <w:color w:val="auto"/>
          <w:sz w:val="32"/>
          <w:szCs w:val="32"/>
        </w:rPr>
        <w:t>食品生产企业要强化重视出厂检验的意识，制定切合自身且不断完善的出厂检验制度；建立完善的检测条件针对自身产品进行日常监管，制定出厂检验计划并严格执行，确保生产合格的产品；加强对生产的成品的检测频率，进行自检或送往具有相关资质的检测机构进行检测；建立健全产品召回机制，应对突发产品质量问题。</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auto"/>
        <w:rPr>
          <w:rStyle w:val="14"/>
          <w:rFonts w:ascii="楷体_GB2312" w:hAnsi="楷体" w:eastAsia="楷体_GB2312"/>
          <w:color w:val="auto"/>
          <w:sz w:val="32"/>
          <w:szCs w:val="32"/>
          <w:highlight w:val="none"/>
        </w:rPr>
      </w:pPr>
      <w:r>
        <w:rPr>
          <w:rStyle w:val="14"/>
          <w:rFonts w:hint="eastAsia" w:ascii="楷体_GB2312" w:hAnsi="楷体" w:eastAsia="楷体_GB2312"/>
          <w:color w:val="auto"/>
          <w:sz w:val="32"/>
          <w:szCs w:val="32"/>
          <w:highlight w:val="none"/>
        </w:rPr>
        <w:t>（</w:t>
      </w:r>
      <w:r>
        <w:rPr>
          <w:rStyle w:val="14"/>
          <w:rFonts w:hint="eastAsia" w:ascii="楷体_GB2312" w:hAnsi="楷体" w:eastAsia="楷体_GB2312"/>
          <w:color w:val="auto"/>
          <w:sz w:val="32"/>
          <w:szCs w:val="32"/>
          <w:highlight w:val="none"/>
          <w:lang w:eastAsia="zh-CN"/>
        </w:rPr>
        <w:t>四</w:t>
      </w:r>
      <w:r>
        <w:rPr>
          <w:rStyle w:val="14"/>
          <w:rFonts w:hint="eastAsia" w:ascii="楷体_GB2312" w:hAnsi="楷体" w:eastAsia="楷体_GB2312"/>
          <w:color w:val="auto"/>
          <w:sz w:val="32"/>
          <w:szCs w:val="32"/>
          <w:highlight w:val="none"/>
        </w:rPr>
        <w:t>）提高食品添加剂安全使用意识</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cs="仿宋_GB2312"/>
          <w:color w:val="auto"/>
          <w:sz w:val="32"/>
          <w:szCs w:val="32"/>
        </w:rPr>
      </w:pPr>
      <w:r>
        <w:rPr>
          <w:rFonts w:hint="eastAsia" w:ascii="仿宋_GB2312" w:hAnsi="仿宋" w:eastAsia="仿宋_GB2312"/>
          <w:color w:val="auto"/>
          <w:sz w:val="32"/>
          <w:szCs w:val="32"/>
          <w:highlight w:val="none"/>
        </w:rPr>
        <w:t>部分食品生产经营者为了追求经济效益，对食品添加剂过于依赖，但对食品添加剂使用要求却执行不到位。因此</w:t>
      </w:r>
      <w:r>
        <w:rPr>
          <w:rFonts w:hint="eastAsia" w:ascii="仿宋_GB2312" w:hAnsi="仿宋" w:eastAsia="仿宋_GB2312"/>
          <w:color w:val="auto"/>
          <w:sz w:val="32"/>
          <w:szCs w:val="32"/>
          <w:highlight w:val="none"/>
          <w:lang w:eastAsia="zh-CN"/>
        </w:rPr>
        <w:t>应</w:t>
      </w:r>
      <w:r>
        <w:rPr>
          <w:rFonts w:hint="eastAsia" w:ascii="仿宋_GB2312" w:hAnsi="仿宋" w:eastAsia="仿宋_GB2312"/>
          <w:color w:val="auto"/>
          <w:sz w:val="32"/>
          <w:szCs w:val="32"/>
          <w:highlight w:val="none"/>
        </w:rPr>
        <w:t>落实企业主体，加大对食品生产企业关于食品添加剂的相关法律法规和国家标准知识的宣传力度，进一步宣贯违法添加和滥用食品添加剂行为的危害性以及通过加大惩处等措施来提高食品生产企业食品添加剂安全使用意识。</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6B2B9706-7902-4198-BA53-A02C205FED22}"/>
  </w:font>
  <w:font w:name="黑体">
    <w:panose1 w:val="02010609060101010101"/>
    <w:charset w:val="86"/>
    <w:family w:val="auto"/>
    <w:pitch w:val="default"/>
    <w:sig w:usb0="800002BF" w:usb1="38CF7CFA" w:usb2="00000016" w:usb3="00000000" w:csb0="00040001" w:csb1="00000000"/>
    <w:embedRegular r:id="rId2" w:fontKey="{5B106947-3A10-430D-8AFE-B7B77BB0140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embedRegular r:id="rId3" w:fontKey="{8C22F8E2-B6A6-4E84-940A-31605803C766}"/>
  </w:font>
  <w:font w:name="Cambria">
    <w:panose1 w:val="02040503050406030204"/>
    <w:charset w:val="00"/>
    <w:family w:val="roman"/>
    <w:pitch w:val="default"/>
    <w:sig w:usb0="E00002FF" w:usb1="400004FF" w:usb2="00000000" w:usb3="00000000" w:csb0="2000019F" w:csb1="00000000"/>
  </w:font>
  <w:font w:name="楷体_GB2312">
    <w:panose1 w:val="02010609030101010101"/>
    <w:charset w:val="86"/>
    <w:family w:val="auto"/>
    <w:pitch w:val="default"/>
    <w:sig w:usb0="00000001" w:usb1="080E0000" w:usb2="00000000" w:usb3="00000000" w:csb0="00040000" w:csb1="00000000"/>
    <w:embedRegular r:id="rId4" w:fontKey="{8C462B30-2E81-4881-83E7-5DD98C79A6C8}"/>
  </w:font>
  <w:font w:name="仿宋_GB2312">
    <w:panose1 w:val="02010609030101010101"/>
    <w:charset w:val="86"/>
    <w:family w:val="modern"/>
    <w:pitch w:val="default"/>
    <w:sig w:usb0="00000001" w:usb1="080E0000" w:usb2="00000000" w:usb3="00000000" w:csb0="00040000" w:csb1="00000000"/>
    <w:embedRegular r:id="rId5" w:fontKey="{47E6FFE0-50C2-424D-87C5-25377345D0D9}"/>
  </w:font>
  <w:font w:name="Calibri Light">
    <w:panose1 w:val="020F0302020204030204"/>
    <w:charset w:val="00"/>
    <w:family w:val="swiss"/>
    <w:pitch w:val="default"/>
    <w:sig w:usb0="A00002EF" w:usb1="4000207B" w:usb2="00000000" w:usb3="00000000" w:csb0="2000019F" w:csb1="00000000"/>
  </w:font>
  <w:font w:name="方正小标宋简体">
    <w:panose1 w:val="02000000000000000000"/>
    <w:charset w:val="86"/>
    <w:family w:val="script"/>
    <w:pitch w:val="default"/>
    <w:sig w:usb0="00000001" w:usb1="08000000" w:usb2="00000000" w:usb3="00000000" w:csb0="00040000" w:csb1="00000000"/>
    <w:embedRegular r:id="rId6" w:fontKey="{58E4CC27-6078-4C8C-B2EF-6299E4642028}"/>
  </w:font>
  <w:font w:name="华文中宋">
    <w:panose1 w:val="02010600040101010101"/>
    <w:charset w:val="86"/>
    <w:family w:val="auto"/>
    <w:pitch w:val="default"/>
    <w:sig w:usb0="00000287" w:usb1="080F0000" w:usb2="00000000" w:usb3="00000000" w:csb0="0004009F" w:csb1="DFD70000"/>
    <w:embedRegular r:id="rId7" w:fontKey="{F3BEB9B8-9ADB-4ED0-A038-A1DE44129915}"/>
  </w:font>
  <w:font w:name="楷体">
    <w:panose1 w:val="02010609060101010101"/>
    <w:charset w:val="86"/>
    <w:family w:val="modern"/>
    <w:pitch w:val="default"/>
    <w:sig w:usb0="800002BF" w:usb1="38CF7CFA" w:usb2="00000016" w:usb3="00000000" w:csb0="00040001" w:csb1="00000000"/>
    <w:embedRegular r:id="rId8" w:fontKey="{B967990B-0FB3-4691-A3A2-A77A25637F7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B36E8D"/>
    <w:multiLevelType w:val="singleLevel"/>
    <w:tmpl w:val="5BB36E8D"/>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0D4506"/>
    <w:rsid w:val="000139C9"/>
    <w:rsid w:val="006B1DCC"/>
    <w:rsid w:val="00724BD2"/>
    <w:rsid w:val="008D6C99"/>
    <w:rsid w:val="00B977A2"/>
    <w:rsid w:val="00BE4BAD"/>
    <w:rsid w:val="010D4506"/>
    <w:rsid w:val="017D0269"/>
    <w:rsid w:val="01880CE2"/>
    <w:rsid w:val="01D53863"/>
    <w:rsid w:val="01DD3C4D"/>
    <w:rsid w:val="03365C46"/>
    <w:rsid w:val="034743C9"/>
    <w:rsid w:val="034F1986"/>
    <w:rsid w:val="03E020C5"/>
    <w:rsid w:val="03FD00B3"/>
    <w:rsid w:val="042311AF"/>
    <w:rsid w:val="055921C9"/>
    <w:rsid w:val="055A195A"/>
    <w:rsid w:val="0597115B"/>
    <w:rsid w:val="06261016"/>
    <w:rsid w:val="066C5CEA"/>
    <w:rsid w:val="06F0528D"/>
    <w:rsid w:val="07C82C95"/>
    <w:rsid w:val="07E04EFC"/>
    <w:rsid w:val="081209FA"/>
    <w:rsid w:val="081B38E6"/>
    <w:rsid w:val="08AD06EB"/>
    <w:rsid w:val="08F00F9F"/>
    <w:rsid w:val="091C5D20"/>
    <w:rsid w:val="0A101FAB"/>
    <w:rsid w:val="0A545255"/>
    <w:rsid w:val="0AEA5DCE"/>
    <w:rsid w:val="0B66492E"/>
    <w:rsid w:val="0C455D22"/>
    <w:rsid w:val="0C6F4539"/>
    <w:rsid w:val="0CD4225F"/>
    <w:rsid w:val="0D6C4E32"/>
    <w:rsid w:val="0E431583"/>
    <w:rsid w:val="0EA926E5"/>
    <w:rsid w:val="0EA93008"/>
    <w:rsid w:val="0EC839C2"/>
    <w:rsid w:val="0F261454"/>
    <w:rsid w:val="10AD16A7"/>
    <w:rsid w:val="1162065F"/>
    <w:rsid w:val="11B32DA0"/>
    <w:rsid w:val="11BA183E"/>
    <w:rsid w:val="11CE6913"/>
    <w:rsid w:val="11E172CB"/>
    <w:rsid w:val="1210526E"/>
    <w:rsid w:val="12AF7645"/>
    <w:rsid w:val="12B51B83"/>
    <w:rsid w:val="139A1CB2"/>
    <w:rsid w:val="13E774D5"/>
    <w:rsid w:val="141B2394"/>
    <w:rsid w:val="1499532A"/>
    <w:rsid w:val="1512088F"/>
    <w:rsid w:val="155219D3"/>
    <w:rsid w:val="15FE7C46"/>
    <w:rsid w:val="16396F4B"/>
    <w:rsid w:val="164E1FAB"/>
    <w:rsid w:val="165773C2"/>
    <w:rsid w:val="16A52765"/>
    <w:rsid w:val="176818BF"/>
    <w:rsid w:val="17C62E78"/>
    <w:rsid w:val="17FA5E44"/>
    <w:rsid w:val="181E6360"/>
    <w:rsid w:val="18F91C2D"/>
    <w:rsid w:val="199008F8"/>
    <w:rsid w:val="19EB104A"/>
    <w:rsid w:val="1A19393D"/>
    <w:rsid w:val="1A81096D"/>
    <w:rsid w:val="1AC759AF"/>
    <w:rsid w:val="1B042E72"/>
    <w:rsid w:val="1B7E0D88"/>
    <w:rsid w:val="1C2B3ECE"/>
    <w:rsid w:val="1C354059"/>
    <w:rsid w:val="1D3D5D17"/>
    <w:rsid w:val="1E3C794C"/>
    <w:rsid w:val="1E8377EE"/>
    <w:rsid w:val="1EFD4E3F"/>
    <w:rsid w:val="1F456A61"/>
    <w:rsid w:val="1FEA3D63"/>
    <w:rsid w:val="200B2815"/>
    <w:rsid w:val="208760C8"/>
    <w:rsid w:val="2103478D"/>
    <w:rsid w:val="219C06C7"/>
    <w:rsid w:val="231A399D"/>
    <w:rsid w:val="24382537"/>
    <w:rsid w:val="248553AF"/>
    <w:rsid w:val="249A66FD"/>
    <w:rsid w:val="255973C6"/>
    <w:rsid w:val="255D305C"/>
    <w:rsid w:val="257D0D7B"/>
    <w:rsid w:val="25D84592"/>
    <w:rsid w:val="26635934"/>
    <w:rsid w:val="26D25598"/>
    <w:rsid w:val="27084E46"/>
    <w:rsid w:val="274815F0"/>
    <w:rsid w:val="27537B32"/>
    <w:rsid w:val="27D171E0"/>
    <w:rsid w:val="282A264F"/>
    <w:rsid w:val="28664823"/>
    <w:rsid w:val="29292876"/>
    <w:rsid w:val="295771E6"/>
    <w:rsid w:val="29DF09A6"/>
    <w:rsid w:val="2A706ED1"/>
    <w:rsid w:val="2A95365C"/>
    <w:rsid w:val="2ACC6C6B"/>
    <w:rsid w:val="2C585E31"/>
    <w:rsid w:val="2C6F3579"/>
    <w:rsid w:val="2C784420"/>
    <w:rsid w:val="2D2D024C"/>
    <w:rsid w:val="2DA27B95"/>
    <w:rsid w:val="2DB1035E"/>
    <w:rsid w:val="2DCA4231"/>
    <w:rsid w:val="2E172668"/>
    <w:rsid w:val="2E6B3A9D"/>
    <w:rsid w:val="2E871900"/>
    <w:rsid w:val="2F085758"/>
    <w:rsid w:val="2F3F7F56"/>
    <w:rsid w:val="2F4F707A"/>
    <w:rsid w:val="2FD45D99"/>
    <w:rsid w:val="2FFC71C6"/>
    <w:rsid w:val="307B5CC3"/>
    <w:rsid w:val="308A4336"/>
    <w:rsid w:val="30B3361E"/>
    <w:rsid w:val="31200851"/>
    <w:rsid w:val="3189778C"/>
    <w:rsid w:val="31AA7543"/>
    <w:rsid w:val="31EA5456"/>
    <w:rsid w:val="31EF1FC4"/>
    <w:rsid w:val="323F00BC"/>
    <w:rsid w:val="324700B2"/>
    <w:rsid w:val="330F0153"/>
    <w:rsid w:val="33132CF8"/>
    <w:rsid w:val="3334531C"/>
    <w:rsid w:val="34264611"/>
    <w:rsid w:val="348E513C"/>
    <w:rsid w:val="34B74329"/>
    <w:rsid w:val="35BC7A15"/>
    <w:rsid w:val="36A26439"/>
    <w:rsid w:val="36A86284"/>
    <w:rsid w:val="372845B2"/>
    <w:rsid w:val="37790A88"/>
    <w:rsid w:val="3787038C"/>
    <w:rsid w:val="37DD6246"/>
    <w:rsid w:val="382D7593"/>
    <w:rsid w:val="38622AFA"/>
    <w:rsid w:val="387272BF"/>
    <w:rsid w:val="38865B2F"/>
    <w:rsid w:val="39264334"/>
    <w:rsid w:val="39275408"/>
    <w:rsid w:val="398B0B0F"/>
    <w:rsid w:val="39C64A66"/>
    <w:rsid w:val="3AB301FA"/>
    <w:rsid w:val="3B1904CB"/>
    <w:rsid w:val="3B2518DE"/>
    <w:rsid w:val="3BAB1A67"/>
    <w:rsid w:val="3BFE4DC9"/>
    <w:rsid w:val="3C064771"/>
    <w:rsid w:val="3CA67A9F"/>
    <w:rsid w:val="3CDD7A17"/>
    <w:rsid w:val="3DBC0B10"/>
    <w:rsid w:val="3DF44DD4"/>
    <w:rsid w:val="3E051E67"/>
    <w:rsid w:val="3E1079E4"/>
    <w:rsid w:val="3E182457"/>
    <w:rsid w:val="3E88008E"/>
    <w:rsid w:val="3E984FE9"/>
    <w:rsid w:val="3EC80CDE"/>
    <w:rsid w:val="3F033412"/>
    <w:rsid w:val="3F0B45B6"/>
    <w:rsid w:val="3F685D87"/>
    <w:rsid w:val="3F7A3AC2"/>
    <w:rsid w:val="40191044"/>
    <w:rsid w:val="42016010"/>
    <w:rsid w:val="428251DB"/>
    <w:rsid w:val="42D71D53"/>
    <w:rsid w:val="43974288"/>
    <w:rsid w:val="439F5506"/>
    <w:rsid w:val="44141429"/>
    <w:rsid w:val="44896D41"/>
    <w:rsid w:val="44D452BA"/>
    <w:rsid w:val="45104BE6"/>
    <w:rsid w:val="460F4F06"/>
    <w:rsid w:val="464A4562"/>
    <w:rsid w:val="4848609B"/>
    <w:rsid w:val="4864409A"/>
    <w:rsid w:val="48961A2D"/>
    <w:rsid w:val="48E60C18"/>
    <w:rsid w:val="49346CC6"/>
    <w:rsid w:val="497B5E1D"/>
    <w:rsid w:val="499A7ACA"/>
    <w:rsid w:val="4B37566A"/>
    <w:rsid w:val="4C7A639D"/>
    <w:rsid w:val="4CE91A69"/>
    <w:rsid w:val="4DAC348D"/>
    <w:rsid w:val="4E0D626A"/>
    <w:rsid w:val="4EBC0748"/>
    <w:rsid w:val="4ECC3762"/>
    <w:rsid w:val="4F4940D8"/>
    <w:rsid w:val="4FE23640"/>
    <w:rsid w:val="4FED4605"/>
    <w:rsid w:val="503305EE"/>
    <w:rsid w:val="50561BEF"/>
    <w:rsid w:val="51F5342B"/>
    <w:rsid w:val="52332F51"/>
    <w:rsid w:val="528B5881"/>
    <w:rsid w:val="52A0415B"/>
    <w:rsid w:val="52E13353"/>
    <w:rsid w:val="52FE47AC"/>
    <w:rsid w:val="533A17A5"/>
    <w:rsid w:val="53465E28"/>
    <w:rsid w:val="534B1050"/>
    <w:rsid w:val="5370241B"/>
    <w:rsid w:val="53785E73"/>
    <w:rsid w:val="538B58DC"/>
    <w:rsid w:val="539260FB"/>
    <w:rsid w:val="53FD7C6B"/>
    <w:rsid w:val="54487F56"/>
    <w:rsid w:val="548A3477"/>
    <w:rsid w:val="550906E8"/>
    <w:rsid w:val="551B6EF1"/>
    <w:rsid w:val="557E5EAF"/>
    <w:rsid w:val="55961D9B"/>
    <w:rsid w:val="55F22D46"/>
    <w:rsid w:val="56D02FB6"/>
    <w:rsid w:val="5737759B"/>
    <w:rsid w:val="577D74E9"/>
    <w:rsid w:val="57FE2087"/>
    <w:rsid w:val="586B71C9"/>
    <w:rsid w:val="590154BD"/>
    <w:rsid w:val="59527B6B"/>
    <w:rsid w:val="59E33FF0"/>
    <w:rsid w:val="59EA54F5"/>
    <w:rsid w:val="5A5B4E1E"/>
    <w:rsid w:val="5B13142F"/>
    <w:rsid w:val="5B98016E"/>
    <w:rsid w:val="5C000884"/>
    <w:rsid w:val="5C224F8E"/>
    <w:rsid w:val="5C240B88"/>
    <w:rsid w:val="5C317F92"/>
    <w:rsid w:val="5D1C02FB"/>
    <w:rsid w:val="5E0606ED"/>
    <w:rsid w:val="5E0D1B19"/>
    <w:rsid w:val="5E214E94"/>
    <w:rsid w:val="5E275C6B"/>
    <w:rsid w:val="5E553A15"/>
    <w:rsid w:val="5E5703AB"/>
    <w:rsid w:val="5E7004E1"/>
    <w:rsid w:val="5E9E3209"/>
    <w:rsid w:val="5ECD4C7F"/>
    <w:rsid w:val="5F093C78"/>
    <w:rsid w:val="5F5A1107"/>
    <w:rsid w:val="5F831A12"/>
    <w:rsid w:val="6048573D"/>
    <w:rsid w:val="60FF5FDD"/>
    <w:rsid w:val="617E5460"/>
    <w:rsid w:val="61E02C8B"/>
    <w:rsid w:val="625323D6"/>
    <w:rsid w:val="62547A4D"/>
    <w:rsid w:val="638239E5"/>
    <w:rsid w:val="638C3D00"/>
    <w:rsid w:val="63E10B0C"/>
    <w:rsid w:val="63F3279C"/>
    <w:rsid w:val="640059A5"/>
    <w:rsid w:val="640612C6"/>
    <w:rsid w:val="647A6E52"/>
    <w:rsid w:val="64EE5D8F"/>
    <w:rsid w:val="6500065A"/>
    <w:rsid w:val="6537764C"/>
    <w:rsid w:val="65E578BD"/>
    <w:rsid w:val="666A4D62"/>
    <w:rsid w:val="668A5EDC"/>
    <w:rsid w:val="66927680"/>
    <w:rsid w:val="67180D7A"/>
    <w:rsid w:val="6756300A"/>
    <w:rsid w:val="67663F7B"/>
    <w:rsid w:val="6792245C"/>
    <w:rsid w:val="67AC56C6"/>
    <w:rsid w:val="6801069F"/>
    <w:rsid w:val="680F265C"/>
    <w:rsid w:val="687D6CC8"/>
    <w:rsid w:val="68E66C0F"/>
    <w:rsid w:val="690A7BA1"/>
    <w:rsid w:val="69113DCA"/>
    <w:rsid w:val="69130912"/>
    <w:rsid w:val="69CB77D8"/>
    <w:rsid w:val="6A323B2C"/>
    <w:rsid w:val="6AC33480"/>
    <w:rsid w:val="6B1806CB"/>
    <w:rsid w:val="6C2646D1"/>
    <w:rsid w:val="6C721C9A"/>
    <w:rsid w:val="6C942E03"/>
    <w:rsid w:val="6D731B27"/>
    <w:rsid w:val="6D76258B"/>
    <w:rsid w:val="6E7050A9"/>
    <w:rsid w:val="6E9610D2"/>
    <w:rsid w:val="6ECD36FF"/>
    <w:rsid w:val="6F1957D5"/>
    <w:rsid w:val="70254438"/>
    <w:rsid w:val="71754C6E"/>
    <w:rsid w:val="71DB6825"/>
    <w:rsid w:val="72A04A1F"/>
    <w:rsid w:val="72F24D9D"/>
    <w:rsid w:val="733275F5"/>
    <w:rsid w:val="738026E3"/>
    <w:rsid w:val="73A979E7"/>
    <w:rsid w:val="74104D2B"/>
    <w:rsid w:val="7432739D"/>
    <w:rsid w:val="744F4674"/>
    <w:rsid w:val="747927C4"/>
    <w:rsid w:val="754A7ABC"/>
    <w:rsid w:val="754B170B"/>
    <w:rsid w:val="756F7B86"/>
    <w:rsid w:val="75A82AC5"/>
    <w:rsid w:val="75CA36CA"/>
    <w:rsid w:val="763955BF"/>
    <w:rsid w:val="76EB5065"/>
    <w:rsid w:val="773A01B0"/>
    <w:rsid w:val="77FC16E5"/>
    <w:rsid w:val="78BC4EF9"/>
    <w:rsid w:val="78C82F23"/>
    <w:rsid w:val="78FE0A2F"/>
    <w:rsid w:val="792F0912"/>
    <w:rsid w:val="796A5F35"/>
    <w:rsid w:val="7A7C11A9"/>
    <w:rsid w:val="7A895DC7"/>
    <w:rsid w:val="7B5E04A9"/>
    <w:rsid w:val="7BE41421"/>
    <w:rsid w:val="7C073518"/>
    <w:rsid w:val="7C4079FA"/>
    <w:rsid w:val="7C8F2CF0"/>
    <w:rsid w:val="7F270D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3">
    <w:name w:val="heading 1"/>
    <w:basedOn w:val="1"/>
    <w:next w:val="1"/>
    <w:qFormat/>
    <w:uiPriority w:val="0"/>
    <w:pPr>
      <w:keepNext/>
      <w:keepLines/>
      <w:spacing w:before="340" w:after="330" w:line="576" w:lineRule="auto"/>
      <w:outlineLvl w:val="0"/>
    </w:pPr>
    <w:rPr>
      <w:rFonts w:eastAsia="楷体_GB2312"/>
      <w:b/>
      <w:kern w:val="44"/>
    </w:rPr>
  </w:style>
  <w:style w:type="paragraph" w:styleId="4">
    <w:name w:val="heading 2"/>
    <w:basedOn w:val="1"/>
    <w:next w:val="1"/>
    <w:link w:val="19"/>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paragraph" w:styleId="2">
    <w:name w:val="heading 3"/>
    <w:basedOn w:val="1"/>
    <w:next w:val="1"/>
    <w:semiHidden/>
    <w:unhideWhenUsed/>
    <w:qFormat/>
    <w:uiPriority w:val="0"/>
    <w:pPr>
      <w:keepNext/>
      <w:keepLines/>
      <w:spacing w:before="200" w:beforeLines="0" w:beforeAutospacing="0" w:after="60" w:afterLines="0" w:afterAutospacing="0" w:line="420" w:lineRule="exact"/>
      <w:ind w:firstLine="0" w:firstLineChars="0"/>
      <w:jc w:val="left"/>
      <w:outlineLvl w:val="2"/>
    </w:pPr>
    <w:rPr>
      <w:rFonts w:hint="eastAsia" w:ascii="宋体" w:hAnsi="宋体" w:cs="Times New Roman"/>
      <w:b/>
      <w:szCs w:val="24"/>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0"/>
    <w:rPr>
      <w:sz w:val="28"/>
    </w:rPr>
  </w:style>
  <w:style w:type="paragraph" w:styleId="6">
    <w:name w:val="Body Text Indent"/>
    <w:basedOn w:val="1"/>
    <w:qFormat/>
    <w:uiPriority w:val="0"/>
    <w:pPr>
      <w:spacing w:before="120" w:after="120"/>
      <w:ind w:firstLine="480"/>
    </w:pPr>
    <w:rPr>
      <w:rFonts w:ascii="宋体" w:hAnsi="宋体"/>
      <w:sz w:val="24"/>
      <w:szCs w:val="20"/>
    </w:rPr>
  </w:style>
  <w:style w:type="paragraph" w:styleId="7">
    <w:name w:val="footer"/>
    <w:basedOn w:val="1"/>
    <w:link w:val="18"/>
    <w:qFormat/>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paragraph" w:styleId="10">
    <w:name w:val="Body Text First Indent"/>
    <w:basedOn w:val="5"/>
    <w:qFormat/>
    <w:uiPriority w:val="0"/>
    <w:pPr>
      <w:ind w:firstLine="420" w:firstLineChars="100"/>
    </w:pPr>
  </w:style>
  <w:style w:type="paragraph" w:styleId="11">
    <w:name w:val="Body Text First Indent 2"/>
    <w:basedOn w:val="6"/>
    <w:next w:val="10"/>
    <w:qFormat/>
    <w:uiPriority w:val="0"/>
    <w:pPr>
      <w:spacing w:before="0"/>
      <w:ind w:left="420" w:leftChars="200" w:firstLine="420"/>
    </w:pPr>
  </w:style>
  <w:style w:type="character" w:styleId="14">
    <w:name w:val="Strong"/>
    <w:basedOn w:val="13"/>
    <w:qFormat/>
    <w:uiPriority w:val="22"/>
    <w:rPr>
      <w:b/>
      <w:bCs/>
    </w:rPr>
  </w:style>
  <w:style w:type="character" w:styleId="15">
    <w:name w:val="Hyperlink"/>
    <w:basedOn w:val="13"/>
    <w:qFormat/>
    <w:uiPriority w:val="0"/>
    <w:rPr>
      <w:color w:val="0000FF"/>
      <w:u w:val="single"/>
    </w:rPr>
  </w:style>
  <w:style w:type="paragraph" w:customStyle="1" w:styleId="16">
    <w:name w:val="本文正文"/>
    <w:basedOn w:val="1"/>
    <w:qFormat/>
    <w:uiPriority w:val="0"/>
    <w:pPr>
      <w:spacing w:line="360" w:lineRule="auto"/>
      <w:ind w:firstLine="803"/>
    </w:pPr>
    <w:rPr>
      <w:rFonts w:ascii="宋体" w:hAnsi="宋体"/>
      <w:sz w:val="24"/>
    </w:rPr>
  </w:style>
  <w:style w:type="character" w:customStyle="1" w:styleId="17">
    <w:name w:val="页眉 字符"/>
    <w:basedOn w:val="13"/>
    <w:link w:val="8"/>
    <w:qFormat/>
    <w:uiPriority w:val="0"/>
    <w:rPr>
      <w:rFonts w:ascii="Calibri" w:hAnsi="Calibri" w:eastAsia="仿宋_GB2312"/>
      <w:kern w:val="2"/>
      <w:sz w:val="18"/>
      <w:szCs w:val="18"/>
    </w:rPr>
  </w:style>
  <w:style w:type="character" w:customStyle="1" w:styleId="18">
    <w:name w:val="页脚 字符"/>
    <w:basedOn w:val="13"/>
    <w:link w:val="7"/>
    <w:qFormat/>
    <w:uiPriority w:val="0"/>
    <w:rPr>
      <w:rFonts w:ascii="Calibri" w:hAnsi="Calibri" w:eastAsia="仿宋_GB2312"/>
      <w:kern w:val="2"/>
      <w:sz w:val="18"/>
      <w:szCs w:val="18"/>
    </w:rPr>
  </w:style>
  <w:style w:type="character" w:customStyle="1" w:styleId="19">
    <w:name w:val="标题 2 字符"/>
    <w:basedOn w:val="13"/>
    <w:link w:val="4"/>
    <w:semiHidden/>
    <w:qFormat/>
    <w:uiPriority w:val="0"/>
    <w:rPr>
      <w:rFonts w:asciiTheme="majorHAnsi" w:hAnsiTheme="majorHAnsi" w:eastAsiaTheme="majorEastAsia" w:cstheme="majorBidi"/>
      <w:b/>
      <w:bCs/>
      <w:kern w:val="2"/>
      <w:sz w:val="32"/>
      <w:szCs w:val="32"/>
    </w:rPr>
  </w:style>
  <w:style w:type="paragraph" w:customStyle="1" w:styleId="20">
    <w:name w:val="列出段落2"/>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8</Pages>
  <Words>600</Words>
  <Characters>3426</Characters>
  <Lines>28</Lines>
  <Paragraphs>8</Paragraphs>
  <TotalTime>5</TotalTime>
  <ScaleCrop>false</ScaleCrop>
  <LinksUpToDate>false</LinksUpToDate>
  <CharactersWithSpaces>4018</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2020-12-18T06:54:00Z</dcterms:created>
  <dc:creator>zhenyongwen</dc:creator>
  <cp:lastModifiedBy>韦慧勤</cp:lastModifiedBy>
  <dcterms:modified xsi:type="dcterms:W3CDTF">2022-01-06T03:07:10Z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2BCBADEB164F420AB7CA92621D404113</vt:lpwstr>
  </property>
</Properties>
</file>