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11"/>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w:t>
      </w:r>
      <w:r>
        <w:rPr>
          <w:rFonts w:hint="eastAsia" w:ascii="楷体_GB2312" w:hAnsi="楷体" w:eastAsia="楷体_GB2312" w:cs="仿宋_GB2312"/>
          <w:b/>
          <w:color w:val="auto"/>
          <w:sz w:val="32"/>
          <w:szCs w:val="32"/>
          <w:lang w:val="en-US" w:eastAsia="zh-CN"/>
        </w:rPr>
        <w:t>一</w:t>
      </w:r>
      <w:r>
        <w:rPr>
          <w:rFonts w:hint="eastAsia" w:ascii="楷体_GB2312" w:hAnsi="楷体" w:eastAsia="楷体_GB2312" w:cs="仿宋_GB2312"/>
          <w:b/>
          <w:color w:val="auto"/>
          <w:sz w:val="32"/>
          <w:szCs w:val="32"/>
          <w:lang w:eastAsia="zh-CN"/>
        </w:rPr>
        <w:t>）酸价</w:t>
      </w:r>
    </w:p>
    <w:p>
      <w:pPr>
        <w:pStyle w:val="9"/>
        <w:shd w:val="clear" w:color="auto" w:fill="FFFFFF"/>
        <w:spacing w:before="0" w:beforeAutospacing="0" w:after="0" w:afterAutospacing="0" w:line="560" w:lineRule="exact"/>
        <w:ind w:firstLine="640" w:firstLineChars="200"/>
        <w:jc w:val="both"/>
        <w:rPr>
          <w:rFonts w:ascii="仿宋_GB2312" w:hAnsi="仿宋" w:eastAsia="仿宋_GB2312"/>
          <w:color w:val="auto"/>
          <w:sz w:val="32"/>
          <w:szCs w:val="32"/>
        </w:rPr>
      </w:pPr>
      <w:r>
        <w:rPr>
          <w:rFonts w:hint="eastAsia" w:ascii="仿宋_GB2312" w:hAnsi="仿宋" w:eastAsia="仿宋_GB2312"/>
          <w:color w:val="auto"/>
          <w:sz w:val="32"/>
          <w:szCs w:val="32"/>
        </w:rPr>
        <w:t>酸价主要反映食品中的油脂酸败程度。《食品安全国家标准 坚果与籽类食品》</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GB 19300-2014</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中规定，坚果与籽类食品的酸价(以脂肪计)应≤3mg/g。酸价过高会导致食品有哈喇味，所产生的醛、酮、酸会破坏脂溶性维生素，会导致肠胃不适症状，特别是对抵抗能力较弱的老人、孕妇、小孩危害更明显。</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（二）二氧化硫残留量</w:t>
      </w:r>
    </w:p>
    <w:p>
      <w:pPr>
        <w:spacing w:line="560" w:lineRule="exact"/>
        <w:ind w:firstLine="640" w:firstLineChars="200"/>
        <w:rPr>
          <w:color w:val="auto"/>
        </w:rPr>
      </w:pPr>
      <w:r>
        <w:rPr>
          <w:rFonts w:hint="eastAsia" w:ascii="仿宋_GB2312" w:hAnsi="仿宋" w:eastAsia="仿宋_GB2312" w:cs="宋体"/>
          <w:color w:val="auto"/>
          <w:kern w:val="0"/>
          <w:sz w:val="32"/>
          <w:szCs w:val="32"/>
        </w:rPr>
        <w:t>食品中的二氧化硫残留通常是指二氧化硫、硫磺以及焦亚硫酸钠、焦亚硫酸钾、亚硫酸钠、亚硫酸氢钠、低亚硫酸钠等无机亚硫酸盐残留的统称。</w:t>
      </w:r>
      <w:r>
        <w:rPr>
          <w:rFonts w:hint="eastAsia" w:ascii="仿宋_GB2312" w:hAnsi="仿宋" w:eastAsia="仿宋_GB2312"/>
          <w:color w:val="auto"/>
          <w:sz w:val="32"/>
          <w:szCs w:val="32"/>
        </w:rPr>
        <w:t>《食品安全国家标准 食品添加剂使用标准》（GB 2760-2014）中规定，干制蔬菜中二氧化硫残留量应≤0.2 g/kg。</w:t>
      </w:r>
      <w:r>
        <w:rPr>
          <w:rFonts w:hint="eastAsia" w:ascii="仿宋_GB2312" w:hAnsi="仿宋" w:eastAsia="仿宋_GB2312" w:cs="宋体"/>
          <w:color w:val="auto"/>
          <w:kern w:val="0"/>
          <w:sz w:val="32"/>
          <w:szCs w:val="32"/>
        </w:rPr>
        <w:t>对二氧化硫有过敏反应的人（如哮喘病患者等）若食用二氧化硫超标的食物，可能会出现气喘、头痛或恶心等过敏症状。若长期大量摄入二氧化硫残留超标的食品，则可能对人体健康造成危害，其毒性表现为胃肠道反应，如恶心、呕吐等。此外，还会影响钙吸收，使机体钙丢失。</w:t>
      </w:r>
    </w:p>
    <w:p>
      <w:pPr>
        <w:numPr>
          <w:ilvl w:val="0"/>
          <w:numId w:val="0"/>
        </w:numPr>
        <w:spacing w:line="560" w:lineRule="exact"/>
        <w:ind w:left="640" w:leftChars="0"/>
        <w:rPr>
          <w:rFonts w:hint="eastAsia" w:ascii="楷体_GB2312" w:hAnsi="楷体" w:eastAsia="楷体_GB2312" w:cs="仿宋_GB2312"/>
          <w:b/>
          <w:color w:val="auto"/>
          <w:sz w:val="32"/>
          <w:szCs w:val="32"/>
          <w:lang w:val="zh-CN"/>
        </w:rPr>
      </w:pPr>
      <w:r>
        <w:rPr>
          <w:rFonts w:hint="eastAsia" w:ascii="楷体_GB2312" w:hAnsi="楷体" w:eastAsia="楷体_GB2312" w:cs="仿宋_GB2312"/>
          <w:b/>
          <w:color w:val="auto"/>
          <w:sz w:val="32"/>
          <w:szCs w:val="32"/>
          <w:lang w:val="zh-CN"/>
        </w:rPr>
        <w:t>（</w:t>
      </w:r>
      <w:r>
        <w:rPr>
          <w:rFonts w:hint="eastAsia" w:ascii="楷体_GB2312" w:hAnsi="楷体" w:eastAsia="楷体_GB2312" w:cs="仿宋_GB2312"/>
          <w:b/>
          <w:color w:val="auto"/>
          <w:sz w:val="32"/>
          <w:szCs w:val="32"/>
          <w:lang w:val="zh-CN" w:eastAsia="zh-CN"/>
        </w:rPr>
        <w:t>三</w:t>
      </w:r>
      <w:r>
        <w:rPr>
          <w:rFonts w:hint="eastAsia" w:ascii="楷体_GB2312" w:hAnsi="楷体" w:eastAsia="楷体_GB2312" w:cs="仿宋_GB2312"/>
          <w:b/>
          <w:color w:val="auto"/>
          <w:sz w:val="32"/>
          <w:szCs w:val="32"/>
          <w:lang w:val="zh-CN"/>
        </w:rPr>
        <w:t>）恩诺沙星</w:t>
      </w:r>
    </w:p>
    <w:p>
      <w:pPr>
        <w:numPr>
          <w:ilvl w:val="0"/>
          <w:numId w:val="0"/>
        </w:numPr>
        <w:spacing w:line="560" w:lineRule="exact"/>
        <w:ind w:firstLine="640" w:firstLineChars="200"/>
        <w:rPr>
          <w:rFonts w:hint="eastAsia" w:ascii="仿宋_GB2312" w:hAnsi="仿宋" w:eastAsia="仿宋_GB2312" w:cs="宋体"/>
          <w:b w:val="0"/>
          <w:color w:val="auto"/>
          <w:kern w:val="0"/>
          <w:sz w:val="32"/>
          <w:szCs w:val="32"/>
          <w:lang w:val="zh-CN" w:eastAsia="zh-CN" w:bidi="ar-SA"/>
        </w:rPr>
      </w:pPr>
      <w:r>
        <w:rPr>
          <w:rFonts w:hint="eastAsia" w:ascii="仿宋_GB2312" w:hAnsi="仿宋" w:eastAsia="仿宋_GB2312" w:cs="宋体"/>
          <w:b w:val="0"/>
          <w:color w:val="auto"/>
          <w:kern w:val="0"/>
          <w:sz w:val="32"/>
          <w:szCs w:val="32"/>
          <w:lang w:val="zh-CN" w:eastAsia="zh-CN" w:bidi="ar-SA"/>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规定，恩诺沙星可用于猪、牛、羊、兔、鱼等食用畜禽、水产动物，其中水产品、家禽肌肉中恩诺沙星(以恩诺沙星与环丙沙星之和计)应≤100μg/kg、在产蛋期家禽中禁用（鸡蛋中不得检出）。老年人、儿童及低免疫力人群摄入较多恩诺沙星不合格的产品，可引起轻度胃肠道不适、头痛、头晕等症状，并产生耐药性。</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（四）甲硝唑</w:t>
      </w:r>
    </w:p>
    <w:p>
      <w:pPr>
        <w:keepNext w:val="0"/>
        <w:keepLines w:val="0"/>
        <w:pageBreakBefore w:val="0"/>
        <w:widowControl/>
        <w:shd w:val="clear" w:color="auto" w:fill="FEFEFE"/>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b w:val="0"/>
          <w:color w:val="auto"/>
          <w:kern w:val="0"/>
          <w:sz w:val="32"/>
          <w:szCs w:val="32"/>
          <w:lang w:val="zh-CN" w:eastAsia="zh-CN" w:bidi="ar-SA"/>
        </w:rPr>
      </w:pPr>
      <w:r>
        <w:rPr>
          <w:rFonts w:hint="eastAsia" w:ascii="仿宋_GB2312" w:hAnsi="仿宋" w:eastAsia="仿宋_GB2312" w:cs="宋体"/>
          <w:b w:val="0"/>
          <w:color w:val="auto"/>
          <w:kern w:val="0"/>
          <w:sz w:val="32"/>
          <w:szCs w:val="32"/>
          <w:lang w:val="zh-CN" w:eastAsia="zh-CN" w:bidi="ar-SA"/>
        </w:rPr>
        <w:t>甲硝唑是一种抗生素和抗原虫剂，有强大的杀灭滴虫的作用，对厌氧微生物有杀灭作用，广泛地应用于抗厌氧菌感染</w:t>
      </w:r>
      <w:r>
        <w:rPr>
          <w:rFonts w:hint="eastAsia" w:ascii="仿宋_GB2312" w:hAnsi="仿宋" w:cs="宋体"/>
          <w:b w:val="0"/>
          <w:color w:val="auto"/>
          <w:kern w:val="0"/>
          <w:sz w:val="32"/>
          <w:szCs w:val="32"/>
          <w:lang w:val="zh-CN" w:eastAsia="zh-CN" w:bidi="ar-SA"/>
        </w:rPr>
        <w:t>。</w:t>
      </w:r>
      <w:r>
        <w:rPr>
          <w:rFonts w:hint="eastAsia" w:ascii="仿宋_GB2312" w:hAnsi="仿宋" w:eastAsia="仿宋_GB2312" w:cs="宋体"/>
          <w:b w:val="0"/>
          <w:color w:val="auto"/>
          <w:kern w:val="0"/>
          <w:sz w:val="32"/>
          <w:szCs w:val="32"/>
          <w:lang w:val="zh-CN" w:eastAsia="zh-CN" w:bidi="ar-SA"/>
        </w:rPr>
        <w:t>《食品安全国家标准 食品中兽药最大残留限量》（GB 31650-2019）中规定，</w:t>
      </w:r>
      <w:r>
        <w:rPr>
          <w:rFonts w:hint="eastAsia" w:ascii="仿宋_GB2312" w:hAnsi="仿宋" w:cs="宋体"/>
          <w:b w:val="0"/>
          <w:color w:val="auto"/>
          <w:kern w:val="0"/>
          <w:sz w:val="32"/>
          <w:szCs w:val="32"/>
          <w:lang w:val="zh-CN" w:eastAsia="zh-CN" w:bidi="ar-SA"/>
        </w:rPr>
        <w:t>甲硝唑不得在动物性食品中检出。长期食用</w:t>
      </w:r>
      <w:r>
        <w:rPr>
          <w:rFonts w:hint="eastAsia" w:ascii="仿宋_GB2312" w:hAnsi="仿宋" w:eastAsia="仿宋_GB2312" w:cs="宋体"/>
          <w:b w:val="0"/>
          <w:color w:val="auto"/>
          <w:kern w:val="0"/>
          <w:sz w:val="32"/>
          <w:szCs w:val="32"/>
          <w:lang w:val="zh-CN" w:eastAsia="zh-CN" w:bidi="ar-SA"/>
        </w:rPr>
        <w:t>甲硝唑</w:t>
      </w:r>
      <w:r>
        <w:rPr>
          <w:rFonts w:hint="eastAsia" w:ascii="仿宋_GB2312" w:hAnsi="仿宋" w:cs="宋体"/>
          <w:b w:val="0"/>
          <w:color w:val="auto"/>
          <w:kern w:val="0"/>
          <w:sz w:val="32"/>
          <w:szCs w:val="32"/>
          <w:lang w:val="zh-CN" w:eastAsia="zh-CN" w:bidi="ar-SA"/>
        </w:rPr>
        <w:t>超标的食品可能会</w:t>
      </w:r>
      <w:r>
        <w:rPr>
          <w:rFonts w:hint="eastAsia" w:ascii="仿宋_GB2312" w:hAnsi="仿宋" w:eastAsia="仿宋_GB2312" w:cs="宋体"/>
          <w:b w:val="0"/>
          <w:color w:val="auto"/>
          <w:kern w:val="0"/>
          <w:sz w:val="32"/>
          <w:szCs w:val="32"/>
          <w:lang w:val="zh-CN" w:eastAsia="zh-CN" w:bidi="ar-SA"/>
        </w:rPr>
        <w:t>引起胃肠道反应恶心、呕吐、食欲不振、腹胀、腹泻</w:t>
      </w:r>
      <w:r>
        <w:rPr>
          <w:rFonts w:hint="eastAsia" w:ascii="仿宋_GB2312" w:hAnsi="仿宋" w:cs="宋体"/>
          <w:b w:val="0"/>
          <w:color w:val="auto"/>
          <w:kern w:val="0"/>
          <w:sz w:val="32"/>
          <w:szCs w:val="32"/>
          <w:lang w:val="zh-CN" w:eastAsia="zh-CN" w:bidi="ar-SA"/>
        </w:rPr>
        <w:t>等</w:t>
      </w:r>
      <w:r>
        <w:rPr>
          <w:rFonts w:hint="eastAsia" w:ascii="仿宋_GB2312" w:hAnsi="仿宋" w:eastAsia="仿宋_GB2312" w:cs="宋体"/>
          <w:b w:val="0"/>
          <w:color w:val="auto"/>
          <w:kern w:val="0"/>
          <w:sz w:val="32"/>
          <w:szCs w:val="32"/>
          <w:lang w:val="zh-CN" w:eastAsia="zh-CN" w:bidi="ar-SA"/>
        </w:rPr>
        <w:t>。</w:t>
      </w:r>
    </w:p>
    <w:p>
      <w:pPr>
        <w:spacing w:line="560" w:lineRule="exact"/>
        <w:ind w:firstLine="643" w:firstLineChars="200"/>
        <w:rPr>
          <w:rFonts w:hint="eastAsia" w:ascii="楷体_GB2312" w:hAnsi="楷体" w:eastAsia="楷体_GB2312" w:cs="仿宋_GB2312"/>
          <w:b/>
          <w:color w:val="auto"/>
          <w:sz w:val="32"/>
          <w:szCs w:val="32"/>
          <w:lang w:val="zh-CN" w:eastAsia="zh-CN"/>
        </w:rPr>
      </w:pPr>
      <w:r>
        <w:rPr>
          <w:rFonts w:hint="eastAsia" w:ascii="楷体_GB2312" w:hAnsi="楷体" w:eastAsia="楷体_GB2312" w:cs="仿宋_GB2312"/>
          <w:b/>
          <w:color w:val="auto"/>
          <w:sz w:val="32"/>
          <w:szCs w:val="32"/>
          <w:lang w:val="zh-CN" w:eastAsia="zh-CN"/>
        </w:rPr>
        <w:t>（五）铝的残留量</w:t>
      </w:r>
    </w:p>
    <w:p>
      <w:pPr>
        <w:spacing w:line="560" w:lineRule="exact"/>
        <w:ind w:firstLine="640" w:firstLineChars="200"/>
        <w:rPr>
          <w:rFonts w:hint="eastAsia" w:ascii="仿宋_GB2312" w:hAnsi="仿宋" w:eastAsia="仿宋_GB2312" w:cs="仿宋_GB2312"/>
          <w:color w:val="auto"/>
          <w:sz w:val="32"/>
          <w:szCs w:val="32"/>
          <w:lang w:eastAsia="zh-CN"/>
        </w:rPr>
      </w:pPr>
      <w:r>
        <w:rPr>
          <w:rFonts w:hint="eastAsia" w:ascii="仿宋_GB2312" w:hAnsi="仿宋" w:eastAsia="仿宋_GB2312" w:cs="仿宋_GB2312"/>
          <w:color w:val="auto"/>
          <w:sz w:val="32"/>
          <w:szCs w:val="32"/>
        </w:rPr>
        <w:t>铝作为食品添加剂硫酸铝钾/硫酸铝铵的重要成分，经常会添加在食物中作为膨松剂或稳定剂。《食品安全国家标准 食品添加剂使用标准》（GB 2760-2014）中规定，</w:t>
      </w:r>
      <w:r>
        <w:rPr>
          <w:rFonts w:hint="eastAsia" w:ascii="仿宋_GB2312" w:hAnsi="仿宋" w:cs="仿宋_GB2312"/>
          <w:color w:val="auto"/>
          <w:sz w:val="32"/>
          <w:szCs w:val="32"/>
          <w:lang w:eastAsia="zh-CN"/>
        </w:rPr>
        <w:t>油炸面制品</w:t>
      </w:r>
      <w:r>
        <w:rPr>
          <w:rFonts w:hint="eastAsia" w:ascii="仿宋_GB2312" w:hAnsi="仿宋" w:eastAsia="仿宋_GB2312" w:cs="仿宋_GB2312"/>
          <w:color w:val="0000FF"/>
          <w:sz w:val="32"/>
          <w:szCs w:val="32"/>
        </w:rPr>
        <w:t>中</w:t>
      </w:r>
      <w:r>
        <w:rPr>
          <w:rFonts w:hint="eastAsia" w:ascii="仿宋_GB2312" w:hAnsi="仿宋" w:eastAsia="仿宋_GB2312" w:cs="仿宋_GB2312"/>
          <w:color w:val="auto"/>
          <w:sz w:val="32"/>
          <w:szCs w:val="32"/>
        </w:rPr>
        <w:t>的铝的残留量(干样品，以Al计)应≤</w:t>
      </w:r>
      <w:r>
        <w:rPr>
          <w:rFonts w:hint="eastAsia" w:ascii="仿宋_GB2312" w:hAnsi="仿宋" w:eastAsia="仿宋_GB2312" w:cs="仿宋_GB2312"/>
          <w:color w:val="auto"/>
          <w:sz w:val="32"/>
          <w:szCs w:val="32"/>
          <w:lang w:val="en-US" w:eastAsia="zh-CN"/>
        </w:rPr>
        <w:t>1</w:t>
      </w:r>
      <w:r>
        <w:rPr>
          <w:rFonts w:hint="eastAsia" w:ascii="仿宋_GB2312" w:hAnsi="仿宋" w:eastAsia="仿宋_GB2312" w:cs="仿宋_GB2312"/>
          <w:color w:val="auto"/>
          <w:sz w:val="32"/>
          <w:szCs w:val="32"/>
        </w:rPr>
        <w:t>00mg/kg</w:t>
      </w:r>
      <w:r>
        <w:rPr>
          <w:rFonts w:hint="eastAsia" w:ascii="仿宋_GB2312" w:hAnsi="仿宋" w:cs="仿宋_GB2312"/>
          <w:color w:val="auto"/>
          <w:sz w:val="32"/>
          <w:szCs w:val="32"/>
          <w:lang w:eastAsia="zh-CN"/>
        </w:rPr>
        <w:t>，</w:t>
      </w:r>
      <w:r>
        <w:rPr>
          <w:rFonts w:hint="eastAsia" w:ascii="仿宋_GB2312" w:hAnsi="仿宋" w:eastAsia="仿宋_GB2312" w:cs="仿宋_GB2312"/>
          <w:sz w:val="32"/>
          <w:szCs w:val="32"/>
          <w:lang w:eastAsia="zh-CN"/>
        </w:rPr>
        <w:t>粉丝粉条</w:t>
      </w:r>
      <w:r>
        <w:rPr>
          <w:rFonts w:hint="eastAsia" w:ascii="仿宋_GB2312" w:hAnsi="仿宋" w:eastAsia="仿宋_GB2312" w:cs="仿宋_GB2312"/>
          <w:sz w:val="32"/>
          <w:szCs w:val="32"/>
        </w:rPr>
        <w:t>中的铝的残留量(干样品，以Al计)应≤</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00mg/kg</w:t>
      </w:r>
      <w:r>
        <w:rPr>
          <w:rFonts w:hint="eastAsia" w:ascii="仿宋_GB2312" w:hAnsi="仿宋" w:cs="仿宋_GB2312"/>
          <w:color w:val="auto"/>
          <w:sz w:val="32"/>
          <w:szCs w:val="32"/>
          <w:lang w:eastAsia="zh-CN"/>
        </w:rPr>
        <w:t>，</w:t>
      </w:r>
      <w:r>
        <w:rPr>
          <w:rFonts w:hint="eastAsia" w:ascii="仿宋_GB2312" w:hAnsi="仿宋" w:eastAsia="仿宋_GB2312" w:cs="仿宋_GB2312"/>
          <w:color w:val="auto"/>
          <w:sz w:val="32"/>
          <w:szCs w:val="32"/>
        </w:rPr>
        <w:t>铝有一定的慢性毒性，摄入铝超标的食品，在体内可造成铝的蓄积，轻者会使食欲减退，引起贫血，重者引起运动失调等健康危害</w:t>
      </w:r>
      <w:r>
        <w:rPr>
          <w:rFonts w:hint="eastAsia" w:ascii="仿宋_GB2312" w:hAnsi="仿宋" w:cs="仿宋_GB2312"/>
          <w:color w:val="auto"/>
          <w:sz w:val="32"/>
          <w:szCs w:val="32"/>
          <w:lang w:eastAsia="zh-CN"/>
        </w:rPr>
        <w:t>。</w:t>
      </w:r>
      <w:r>
        <w:rPr>
          <w:rFonts w:hint="eastAsia" w:ascii="仿宋_GB2312" w:hAnsi="仿宋" w:cs="仿宋_GB2312"/>
          <w:color w:val="0000FF"/>
          <w:sz w:val="32"/>
          <w:szCs w:val="32"/>
          <w:lang w:eastAsia="zh-CN"/>
        </w:rPr>
        <w:t>此外，本次亦有</w:t>
      </w:r>
      <w:r>
        <w:rPr>
          <w:rFonts w:hint="eastAsia" w:ascii="仿宋_GB2312" w:hAnsi="仿宋" w:cs="仿宋_GB2312"/>
          <w:color w:val="auto"/>
          <w:sz w:val="32"/>
          <w:szCs w:val="32"/>
          <w:lang w:eastAsia="zh-CN"/>
        </w:rPr>
        <w:t>粉丝</w:t>
      </w:r>
      <w:r>
        <w:rPr>
          <w:rFonts w:hint="eastAsia" w:ascii="仿宋_GB2312" w:hAnsi="仿宋" w:eastAsia="仿宋_GB2312" w:cs="仿宋_GB2312"/>
          <w:color w:val="auto"/>
          <w:sz w:val="32"/>
          <w:szCs w:val="32"/>
        </w:rPr>
        <w:t>不合格样品标签明示</w:t>
      </w:r>
      <w:r>
        <w:rPr>
          <w:rFonts w:hint="eastAsia" w:ascii="仿宋_GB2312" w:hAnsi="仿宋" w:eastAsia="仿宋_GB2312" w:cs="仿宋_GB2312"/>
          <w:color w:val="auto"/>
          <w:sz w:val="32"/>
          <w:szCs w:val="32"/>
          <w:lang w:eastAsia="zh-CN"/>
        </w:rPr>
        <w:t>“加工时不含人工色素和人工添加剂”</w:t>
      </w:r>
      <w:r>
        <w:rPr>
          <w:rFonts w:hint="eastAsia" w:ascii="仿宋_GB2312" w:hAnsi="仿宋" w:cs="仿宋_GB2312"/>
          <w:color w:val="0000FF"/>
          <w:sz w:val="32"/>
          <w:szCs w:val="32"/>
          <w:lang w:eastAsia="zh-CN"/>
        </w:rPr>
        <w:t>及“本品无任何化学添加剂”</w:t>
      </w:r>
      <w:r>
        <w:rPr>
          <w:rFonts w:hint="eastAsia" w:ascii="仿宋_GB2312" w:hAnsi="仿宋" w:eastAsia="仿宋_GB2312" w:cs="仿宋_GB2312"/>
          <w:color w:val="auto"/>
          <w:sz w:val="32"/>
          <w:szCs w:val="32"/>
          <w:lang w:eastAsia="zh-CN"/>
        </w:rPr>
        <w:t>，但检出一定量的铝残留，易对消费者造成误导。</w:t>
      </w:r>
    </w:p>
    <w:p>
      <w:pPr>
        <w:spacing w:line="560" w:lineRule="exact"/>
        <w:ind w:firstLine="643" w:firstLineChars="200"/>
        <w:rPr>
          <w:rFonts w:hint="eastAsia" w:ascii="楷体_GB2312" w:hAnsi="楷体" w:eastAsia="楷体_GB2312" w:cs="宋体"/>
          <w:b/>
          <w:kern w:val="0"/>
          <w:sz w:val="32"/>
          <w:szCs w:val="32"/>
          <w:lang w:eastAsia="zh-CN"/>
        </w:rPr>
      </w:pPr>
      <w:r>
        <w:rPr>
          <w:rFonts w:hint="eastAsia" w:ascii="楷体_GB2312" w:hAnsi="楷体" w:eastAsia="楷体_GB2312" w:cs="宋体"/>
          <w:b/>
          <w:kern w:val="0"/>
          <w:sz w:val="32"/>
          <w:szCs w:val="32"/>
        </w:rPr>
        <w:t>（</w:t>
      </w:r>
      <w:r>
        <w:rPr>
          <w:rFonts w:hint="eastAsia" w:ascii="楷体_GB2312" w:hAnsi="楷体" w:eastAsia="楷体_GB2312" w:cs="宋体"/>
          <w:b/>
          <w:kern w:val="0"/>
          <w:sz w:val="32"/>
          <w:szCs w:val="32"/>
          <w:lang w:eastAsia="zh-CN"/>
        </w:rPr>
        <w:t>六</w:t>
      </w:r>
      <w:r>
        <w:rPr>
          <w:rFonts w:hint="eastAsia" w:ascii="楷体_GB2312" w:hAnsi="楷体" w:eastAsia="楷体_GB2312" w:cs="宋体"/>
          <w:b/>
          <w:kern w:val="0"/>
          <w:sz w:val="32"/>
          <w:szCs w:val="32"/>
        </w:rPr>
        <w:t>）</w:t>
      </w:r>
      <w:r>
        <w:rPr>
          <w:rFonts w:hint="eastAsia" w:ascii="楷体_GB2312" w:hAnsi="楷体" w:eastAsia="楷体_GB2312" w:cs="宋体"/>
          <w:b/>
          <w:kern w:val="0"/>
          <w:sz w:val="32"/>
          <w:szCs w:val="32"/>
          <w:lang w:eastAsia="zh-CN"/>
        </w:rPr>
        <w:t>总汞</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Times New Roman"/>
          <w:kern w:val="2"/>
          <w:sz w:val="32"/>
          <w:szCs w:val="32"/>
          <w:lang w:val="zh-CN" w:eastAsia="zh-CN"/>
        </w:rPr>
      </w:pPr>
      <w:r>
        <w:rPr>
          <w:rFonts w:hint="eastAsia" w:ascii="仿宋_GB2312" w:hAnsi="仿宋" w:eastAsia="仿宋_GB2312" w:cs="Times New Roman"/>
          <w:kern w:val="2"/>
          <w:sz w:val="32"/>
          <w:szCs w:val="32"/>
        </w:rPr>
        <w:t>汞是一种毒性较大、熔点低、易挥发的银色液体金属，俗称水银。食品中的汞元素主要以金属汞、无机汞和有机汞（甲基汞、二甲基汞、乙基汞、苯甲基汞等）的形态存在。《食品安全国家标准 食品中污染物限量》（GB 2762—201</w:t>
      </w:r>
      <w:r>
        <w:rPr>
          <w:rFonts w:hint="eastAsia" w:ascii="仿宋_GB2312" w:hAnsi="仿宋" w:eastAsia="仿宋_GB2312" w:cs="Times New Roman"/>
          <w:kern w:val="2"/>
          <w:sz w:val="32"/>
          <w:szCs w:val="32"/>
          <w:lang w:val="en-US" w:eastAsia="zh-CN"/>
        </w:rPr>
        <w:t>7</w:t>
      </w:r>
      <w:r>
        <w:rPr>
          <w:rFonts w:hint="eastAsia" w:ascii="仿宋_GB2312" w:hAnsi="仿宋" w:eastAsia="仿宋_GB2312" w:cs="Times New Roman"/>
          <w:kern w:val="2"/>
          <w:sz w:val="32"/>
          <w:szCs w:val="32"/>
        </w:rPr>
        <w:t>）中规定，干制蔬菜中的</w:t>
      </w:r>
      <w:r>
        <w:rPr>
          <w:rFonts w:hint="eastAsia" w:ascii="仿宋_GB2312" w:hAnsi="仿宋" w:eastAsia="仿宋_GB2312" w:cs="Times New Roman"/>
          <w:kern w:val="2"/>
          <w:sz w:val="32"/>
          <w:szCs w:val="32"/>
          <w:lang w:eastAsia="zh-CN"/>
        </w:rPr>
        <w:t>总汞(以Hg计)</w:t>
      </w:r>
      <w:r>
        <w:rPr>
          <w:rFonts w:hint="eastAsia" w:ascii="仿宋_GB2312" w:hAnsi="仿宋" w:eastAsia="仿宋_GB2312" w:cs="Times New Roman"/>
          <w:kern w:val="2"/>
          <w:sz w:val="32"/>
          <w:szCs w:val="32"/>
        </w:rPr>
        <w:t>应≤0.1/(1-脱水率)(mg/kg)。</w:t>
      </w:r>
      <w:r>
        <w:rPr>
          <w:rFonts w:hint="eastAsia" w:ascii="仿宋_GB2312" w:hAnsi="仿宋" w:eastAsia="仿宋_GB2312" w:cs="Times New Roman"/>
          <w:kern w:val="2"/>
          <w:sz w:val="32"/>
          <w:szCs w:val="32"/>
          <w:lang w:val="en-US" w:eastAsia="zh-CN"/>
        </w:rPr>
        <w:t>长期食用汞含量超标的食品</w:t>
      </w:r>
      <w:r>
        <w:rPr>
          <w:rFonts w:hint="eastAsia" w:ascii="仿宋_GB2312" w:hAnsi="仿宋" w:eastAsia="仿宋_GB2312" w:cs="Times New Roman"/>
          <w:kern w:val="2"/>
          <w:sz w:val="32"/>
          <w:szCs w:val="32"/>
        </w:rPr>
        <w:t>可</w:t>
      </w:r>
      <w:r>
        <w:rPr>
          <w:rFonts w:hint="eastAsia" w:ascii="仿宋_GB2312" w:hAnsi="仿宋" w:eastAsia="仿宋_GB2312" w:cs="Times New Roman"/>
          <w:kern w:val="2"/>
          <w:sz w:val="32"/>
          <w:szCs w:val="32"/>
          <w:lang w:eastAsia="zh-CN"/>
        </w:rPr>
        <w:t>能会</w:t>
      </w:r>
      <w:r>
        <w:rPr>
          <w:rFonts w:hint="eastAsia" w:ascii="仿宋_GB2312" w:hAnsi="仿宋" w:eastAsia="仿宋_GB2312" w:cs="Times New Roman"/>
          <w:kern w:val="2"/>
          <w:sz w:val="32"/>
          <w:szCs w:val="32"/>
        </w:rPr>
        <w:t>对肾脏细胞产生毒性作用</w:t>
      </w:r>
      <w:r>
        <w:rPr>
          <w:rFonts w:hint="eastAsia" w:ascii="仿宋_GB2312" w:hAnsi="仿宋" w:eastAsia="仿宋_GB2312" w:cs="Times New Roman"/>
          <w:kern w:val="2"/>
          <w:sz w:val="32"/>
          <w:szCs w:val="32"/>
          <w:lang w:eastAsia="zh-CN"/>
        </w:rPr>
        <w:t>，</w:t>
      </w:r>
      <w:r>
        <w:rPr>
          <w:rFonts w:hint="eastAsia" w:ascii="仿宋_GB2312" w:hAnsi="仿宋" w:eastAsia="仿宋_GB2312" w:cs="Times New Roman"/>
          <w:kern w:val="2"/>
          <w:sz w:val="32"/>
          <w:szCs w:val="32"/>
        </w:rPr>
        <w:t>损伤脑和神经系统</w:t>
      </w:r>
      <w:r>
        <w:rPr>
          <w:rFonts w:hint="eastAsia" w:ascii="仿宋_GB2312" w:hAnsi="仿宋" w:eastAsia="仿宋_GB2312" w:cs="Times New Roman"/>
          <w:kern w:val="2"/>
          <w:sz w:val="32"/>
          <w:szCs w:val="32"/>
          <w:lang w:eastAsia="zh-CN"/>
        </w:rPr>
        <w:t>。孕妇食用汞超标的食品会对</w:t>
      </w:r>
      <w:r>
        <w:rPr>
          <w:rFonts w:hint="eastAsia" w:ascii="仿宋_GB2312" w:hAnsi="仿宋" w:eastAsia="仿宋_GB2312" w:cs="Times New Roman"/>
          <w:kern w:val="2"/>
          <w:sz w:val="32"/>
          <w:szCs w:val="32"/>
        </w:rPr>
        <w:t>胎儿中枢神经发育有不良影响。</w:t>
      </w:r>
    </w:p>
    <w:p>
      <w:pPr>
        <w:spacing w:line="560" w:lineRule="exact"/>
        <w:ind w:firstLine="643" w:firstLineChars="200"/>
        <w:rPr>
          <w:rFonts w:hint="eastAsia"/>
          <w:lang w:val="en-US" w:eastAsia="zh-CN"/>
        </w:rPr>
      </w:pPr>
      <w:r>
        <w:rPr>
          <w:rFonts w:hint="eastAsia" w:ascii="楷体_GB2312" w:hAnsi="楷体" w:eastAsia="楷体_GB2312" w:cs="仿宋_GB2312"/>
          <w:b/>
          <w:color w:val="auto"/>
          <w:sz w:val="32"/>
          <w:szCs w:val="32"/>
          <w:lang w:val="en-US" w:eastAsia="zh-CN"/>
        </w:rPr>
        <w:t>（七）淀粉</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仿宋_GB2312"/>
          <w:color w:val="auto"/>
          <w:sz w:val="32"/>
          <w:szCs w:val="32"/>
          <w:lang w:val="en-US" w:eastAsia="zh-CN"/>
        </w:rPr>
      </w:pPr>
      <w:r>
        <w:rPr>
          <w:rFonts w:hint="eastAsia" w:ascii="仿宋_GB2312" w:hAnsi="仿宋" w:eastAsia="仿宋_GB2312" w:cs="仿宋_GB2312"/>
          <w:color w:val="auto"/>
          <w:sz w:val="32"/>
          <w:szCs w:val="32"/>
        </w:rPr>
        <w:t>淀粉是高分子碳水化合物，是由葡萄糖分子聚合而成的，其基本构成单位为α-D-吡喃葡萄糖。《猪肉糜类罐头》</w:t>
      </w:r>
      <w:r>
        <w:rPr>
          <w:rFonts w:hint="eastAsia" w:ascii="仿宋_GB2312" w:hAnsi="仿宋" w:eastAsia="仿宋_GB2312" w:cs="仿宋_GB2312"/>
          <w:color w:val="auto"/>
          <w:sz w:val="32"/>
          <w:szCs w:val="32"/>
          <w:lang w:eastAsia="zh-CN"/>
        </w:rPr>
        <w:t>（</w:t>
      </w:r>
      <w:r>
        <w:rPr>
          <w:rFonts w:hint="eastAsia" w:ascii="仿宋_GB2312" w:hAnsi="仿宋" w:eastAsia="仿宋_GB2312" w:cs="仿宋_GB2312"/>
          <w:color w:val="auto"/>
          <w:sz w:val="32"/>
          <w:szCs w:val="32"/>
        </w:rPr>
        <w:t>GB/T 13213-2017</w:t>
      </w:r>
      <w:r>
        <w:rPr>
          <w:rFonts w:hint="eastAsia" w:ascii="仿宋_GB2312" w:hAnsi="仿宋" w:eastAsia="仿宋_GB2312" w:cs="仿宋_GB2312"/>
          <w:color w:val="auto"/>
          <w:sz w:val="32"/>
          <w:szCs w:val="32"/>
          <w:lang w:eastAsia="zh-CN"/>
        </w:rPr>
        <w:t>）中规定，优级品火腿猪肉罐头中淀粉应</w:t>
      </w:r>
      <w:r>
        <w:rPr>
          <w:rFonts w:hint="eastAsia" w:ascii="仿宋_GB2312" w:hAnsi="仿宋" w:eastAsia="仿宋_GB2312" w:cs="仿宋_GB2312"/>
          <w:color w:val="auto"/>
          <w:sz w:val="32"/>
          <w:szCs w:val="32"/>
        </w:rPr>
        <w:t>≤</w:t>
      </w:r>
      <w:r>
        <w:rPr>
          <w:rFonts w:hint="eastAsia" w:ascii="仿宋_GB2312" w:hAnsi="仿宋" w:eastAsia="仿宋_GB2312" w:cs="仿宋_GB2312"/>
          <w:color w:val="auto"/>
          <w:sz w:val="32"/>
          <w:szCs w:val="32"/>
          <w:lang w:val="en-US" w:eastAsia="zh-CN"/>
        </w:rPr>
        <w:t>3.5%。火腿猪肉罐头中检出淀粉含量超标，不会对人体带来危害，但是有可能对消费者构成欺骗行为。</w:t>
      </w:r>
    </w:p>
    <w:p>
      <w:pPr>
        <w:widowControl/>
        <w:numPr>
          <w:ilvl w:val="0"/>
          <w:numId w:val="1"/>
        </w:numPr>
        <w:jc w:val="left"/>
        <w:rPr>
          <w:rFonts w:hint="eastAsia" w:ascii="楷体_GB2312" w:hAnsi="宋体" w:eastAsia="楷体_GB2312" w:cs="宋体"/>
          <w:b/>
          <w:kern w:val="0"/>
          <w:sz w:val="32"/>
          <w:szCs w:val="32"/>
          <w:lang w:val="en-US" w:eastAsia="zh-CN"/>
        </w:rPr>
      </w:pPr>
      <w:r>
        <w:rPr>
          <w:rFonts w:hint="eastAsia" w:ascii="楷体_GB2312" w:hAnsi="宋体" w:eastAsia="楷体_GB2312" w:cs="宋体"/>
          <w:b/>
          <w:kern w:val="0"/>
          <w:sz w:val="32"/>
          <w:szCs w:val="32"/>
          <w:lang w:val="en-US" w:eastAsia="zh-CN"/>
        </w:rPr>
        <w:t>镉</w:t>
      </w:r>
    </w:p>
    <w:p>
      <w:pPr>
        <w:widowControl/>
        <w:numPr>
          <w:ilvl w:val="0"/>
          <w:numId w:val="0"/>
        </w:numPr>
        <w:ind w:firstLine="640" w:firstLineChars="200"/>
        <w:jc w:val="left"/>
        <w:rPr>
          <w:rFonts w:hint="eastAsia" w:ascii="仿宋_GB2312" w:hAnsi="仿宋" w:eastAsia="仿宋_GB2312" w:cs="仿宋_GB2312"/>
          <w:color w:val="auto"/>
          <w:sz w:val="32"/>
          <w:szCs w:val="32"/>
        </w:rPr>
      </w:pPr>
      <w:r>
        <w:rPr>
          <w:rFonts w:hint="eastAsia" w:ascii="仿宋_GB2312" w:hAnsi="仿宋" w:eastAsia="仿宋_GB2312" w:cs="仿宋_GB2312"/>
          <w:color w:val="auto"/>
          <w:sz w:val="32"/>
          <w:szCs w:val="32"/>
        </w:rPr>
        <w:t>镉是最常见的重金属元素污染物之一。《食品安全国家标准食品中污染物限量》（GB 2762—2017）中规定，镉（以Cd计）在鲜、冻水产动物的甲壳类中</w:t>
      </w:r>
      <w:r>
        <w:rPr>
          <w:rFonts w:hint="eastAsia" w:ascii="仿宋_GB2312" w:hAnsi="仿宋" w:eastAsia="仿宋_GB2312" w:cs="仿宋_GB2312"/>
          <w:color w:val="auto"/>
          <w:sz w:val="32"/>
          <w:szCs w:val="32"/>
          <w:lang w:eastAsia="zh-CN"/>
        </w:rPr>
        <w:t>应</w:t>
      </w:r>
      <w:r>
        <w:rPr>
          <w:rFonts w:hint="eastAsia" w:ascii="仿宋_GB2312" w:hAnsi="仿宋" w:eastAsia="仿宋_GB2312" w:cs="仿宋_GB2312"/>
          <w:color w:val="auto"/>
          <w:sz w:val="32"/>
          <w:szCs w:val="32"/>
        </w:rPr>
        <w:t>≤0.5mg/kg</w:t>
      </w:r>
      <w:r>
        <w:rPr>
          <w:rFonts w:hint="eastAsia" w:ascii="仿宋_GB2312" w:hAnsi="仿宋" w:eastAsia="仿宋_GB2312" w:cs="仿宋_GB2312"/>
          <w:color w:val="auto"/>
          <w:sz w:val="32"/>
          <w:szCs w:val="32"/>
          <w:lang w:eastAsia="zh-CN"/>
        </w:rPr>
        <w:t>，新鲜蔬菜（叶菜蔬菜、豆类蔬菜、块根和块茎蔬菜、茎类蔬菜、黄花菜除外）中</w:t>
      </w:r>
      <w:r>
        <w:rPr>
          <w:rFonts w:hint="eastAsia" w:ascii="仿宋_GB2312" w:hAnsi="仿宋" w:eastAsia="仿宋_GB2312" w:cs="仿宋_GB2312"/>
          <w:color w:val="auto"/>
          <w:sz w:val="32"/>
          <w:szCs w:val="32"/>
        </w:rPr>
        <w:t>镉（以Cd计）</w:t>
      </w:r>
      <w:r>
        <w:rPr>
          <w:rFonts w:hint="eastAsia" w:ascii="仿宋_GB2312" w:hAnsi="仿宋" w:eastAsia="仿宋_GB2312" w:cs="仿宋_GB2312"/>
          <w:color w:val="auto"/>
          <w:sz w:val="32"/>
          <w:szCs w:val="32"/>
          <w:lang w:eastAsia="zh-CN"/>
        </w:rPr>
        <w:t>应</w:t>
      </w:r>
      <w:r>
        <w:rPr>
          <w:rFonts w:hint="eastAsia" w:ascii="仿宋_GB2312" w:hAnsi="仿宋" w:eastAsia="仿宋_GB2312" w:cs="仿宋_GB2312"/>
          <w:color w:val="auto"/>
          <w:sz w:val="32"/>
          <w:szCs w:val="32"/>
        </w:rPr>
        <w:t>≤0.</w:t>
      </w:r>
      <w:r>
        <w:rPr>
          <w:rFonts w:hint="eastAsia" w:ascii="仿宋_GB2312" w:hAnsi="仿宋" w:eastAsia="仿宋_GB2312" w:cs="仿宋_GB2312"/>
          <w:color w:val="auto"/>
          <w:sz w:val="32"/>
          <w:szCs w:val="32"/>
          <w:lang w:val="en-US" w:eastAsia="zh-CN"/>
        </w:rPr>
        <w:t>0</w:t>
      </w:r>
      <w:r>
        <w:rPr>
          <w:rFonts w:hint="eastAsia" w:ascii="仿宋_GB2312" w:hAnsi="仿宋" w:eastAsia="仿宋_GB2312" w:cs="仿宋_GB2312"/>
          <w:color w:val="auto"/>
          <w:sz w:val="32"/>
          <w:szCs w:val="32"/>
        </w:rPr>
        <w:t>5mg/kg。镉对人体的危害主要是慢性蓄积性，长期大量摄入镉含量超标的食品可能导致肾和骨骼损伤等。</w:t>
      </w:r>
    </w:p>
    <w:p>
      <w:pPr>
        <w:rPr>
          <w:rFonts w:ascii="楷体_GB2312" w:hAnsi="宋体" w:eastAsia="楷体_GB2312" w:cs="宋体"/>
          <w:b/>
          <w:kern w:val="0"/>
          <w:sz w:val="32"/>
          <w:szCs w:val="32"/>
        </w:rPr>
      </w:pPr>
      <w:r>
        <w:rPr>
          <w:rFonts w:hint="eastAsia" w:ascii="楷体_GB2312" w:hAnsi="宋体" w:eastAsia="楷体_GB2312" w:cs="宋体"/>
          <w:b/>
          <w:kern w:val="0"/>
          <w:sz w:val="32"/>
          <w:szCs w:val="32"/>
        </w:rPr>
        <w:t>（</w:t>
      </w:r>
      <w:r>
        <w:rPr>
          <w:rFonts w:hint="eastAsia" w:ascii="楷体_GB2312" w:hAnsi="宋体" w:eastAsia="楷体_GB2312" w:cs="宋体"/>
          <w:b/>
          <w:kern w:val="0"/>
          <w:sz w:val="32"/>
          <w:szCs w:val="32"/>
          <w:lang w:eastAsia="zh-CN"/>
        </w:rPr>
        <w:t>九</w:t>
      </w:r>
      <w:r>
        <w:rPr>
          <w:rFonts w:hint="eastAsia" w:ascii="楷体_GB2312" w:hAnsi="宋体" w:eastAsia="楷体_GB2312" w:cs="宋体"/>
          <w:b/>
          <w:kern w:val="0"/>
          <w:sz w:val="32"/>
          <w:szCs w:val="32"/>
        </w:rPr>
        <w:t>）五氯酚酸钠</w:t>
      </w:r>
    </w:p>
    <w:p>
      <w:pPr>
        <w:spacing w:line="560" w:lineRule="exact"/>
        <w:ind w:firstLine="640" w:firstLineChars="200"/>
        <w:jc w:val="both"/>
        <w:rPr>
          <w:rFonts w:hint="eastAsia" w:ascii="仿宋_GB2312" w:hAnsi="仿宋" w:eastAsia="仿宋_GB2312"/>
          <w:sz w:val="32"/>
          <w:szCs w:val="32"/>
        </w:rPr>
      </w:pPr>
      <w:r>
        <w:rPr>
          <w:rFonts w:hint="eastAsia" w:ascii="仿宋_GB2312" w:hAnsi="仿宋" w:eastAsia="仿宋_GB2312"/>
          <w:sz w:val="32"/>
          <w:szCs w:val="32"/>
        </w:rPr>
        <w:t>五氯酚酸钠属于有机氯农药，是氯代烃类杀虫剂和杀真菌剂。《中华人民共和国农业农村部公告第250号》中规定，五氯酚酸钠为禁止使用的药物，在动物性食品中不得检出。五氯酚酸钠能抑制生物代谢过程中氧化磷酸化作用, 会造成人体的肝、肾及中枢神经系统的损害。</w:t>
      </w:r>
    </w:p>
    <w:p>
      <w:pPr>
        <w:spacing w:line="560" w:lineRule="exact"/>
        <w:ind w:firstLine="643" w:firstLineChars="200"/>
        <w:rPr>
          <w:rFonts w:ascii="楷体_GB2312" w:hAnsi="楷体" w:eastAsia="楷体_GB2312" w:cs="楷体"/>
          <w:b/>
          <w:bCs/>
          <w:sz w:val="32"/>
          <w:szCs w:val="32"/>
          <w:shd w:val="clear" w:color="auto" w:fill="FFFFFF"/>
        </w:rPr>
      </w:pPr>
      <w:r>
        <w:rPr>
          <w:rFonts w:hint="eastAsia" w:ascii="楷体_GB2312" w:hAnsi="楷体" w:eastAsia="楷体_GB2312" w:cs="楷体"/>
          <w:b/>
          <w:bCs/>
          <w:sz w:val="32"/>
          <w:szCs w:val="32"/>
          <w:shd w:val="clear" w:color="auto" w:fill="FFFFFF"/>
        </w:rPr>
        <w:t>（十）4-氯苯氧乙酸钠</w:t>
      </w:r>
    </w:p>
    <w:p>
      <w:pPr>
        <w:spacing w:line="560" w:lineRule="exact"/>
        <w:ind w:firstLine="645"/>
        <w:rPr>
          <w:rFonts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4-氯苯氧乙酸钠是一种植物生长调节剂，可以促进植物体内的生物合成和生物转移，不仅可防止落花落果、提高做果率、增进果实生长速度、促进提前成熟，还能达到改善植物品质的目的，同时它还有除草剂的作用。但由于其对人体有一定积累毒性</w:t>
      </w:r>
      <w:r>
        <w:rPr>
          <w:rFonts w:hint="eastAsia" w:ascii="仿宋_GB2312" w:hAnsi="仿宋" w:eastAsia="仿宋_GB2312" w:cs="Arial"/>
          <w:color w:val="auto"/>
          <w:sz w:val="32"/>
          <w:szCs w:val="32"/>
          <w:shd w:val="clear" w:color="auto" w:fill="FFFFFF"/>
        </w:rPr>
        <w:t>，国家已取</w:t>
      </w:r>
      <w:r>
        <w:rPr>
          <w:rFonts w:hint="eastAsia" w:ascii="仿宋_GB2312" w:hAnsi="仿宋" w:eastAsia="仿宋_GB2312" w:cs="Arial"/>
          <w:sz w:val="32"/>
          <w:szCs w:val="32"/>
          <w:shd w:val="clear" w:color="auto" w:fill="FFFFFF"/>
        </w:rPr>
        <w:t>消其作为食品添加剂的生产许可申请。</w:t>
      </w:r>
      <w:r>
        <w:rPr>
          <w:rFonts w:hint="eastAsia" w:ascii="仿宋_GB2312" w:hAnsi="仿宋" w:eastAsia="仿宋_GB2312"/>
          <w:sz w:val="32"/>
          <w:szCs w:val="32"/>
        </w:rPr>
        <w:t>《关于豆芽生产过程中禁止使用 6-苄基腺嘌呤 等物质的公告》</w:t>
      </w:r>
      <w:r>
        <w:rPr>
          <w:rFonts w:hint="eastAsia" w:ascii="仿宋_GB2312" w:hAnsi="仿宋" w:eastAsia="仿宋_GB2312" w:cs="宋体"/>
          <w:kern w:val="0"/>
          <w:sz w:val="32"/>
          <w:szCs w:val="32"/>
          <w:lang w:val="zh-CN"/>
        </w:rPr>
        <w:t>(</w:t>
      </w:r>
      <w:r>
        <w:rPr>
          <w:rFonts w:hint="eastAsia" w:ascii="仿宋_GB2312" w:hAnsi="仿宋" w:eastAsia="仿宋_GB2312"/>
          <w:sz w:val="32"/>
          <w:szCs w:val="32"/>
        </w:rPr>
        <w:t>国家食品药品监督管理总局、农业部、国家卫生和计划生育委员会公告 2015年第11号</w:t>
      </w:r>
      <w:r>
        <w:rPr>
          <w:rFonts w:hint="eastAsia" w:ascii="仿宋_GB2312" w:hAnsi="仿宋" w:eastAsia="仿宋_GB2312" w:cs="宋体"/>
          <w:kern w:val="0"/>
          <w:sz w:val="32"/>
          <w:szCs w:val="32"/>
          <w:lang w:val="zh-CN"/>
        </w:rPr>
        <w:t>)</w:t>
      </w:r>
      <w:r>
        <w:rPr>
          <w:rFonts w:hint="eastAsia" w:ascii="仿宋_GB2312" w:hAnsi="仿宋" w:eastAsia="仿宋_GB2312" w:cs="宋体"/>
          <w:sz w:val="32"/>
          <w:szCs w:val="32"/>
        </w:rPr>
        <w:t>中要求，</w:t>
      </w:r>
      <w:r>
        <w:rPr>
          <w:rFonts w:hint="eastAsia" w:ascii="仿宋_GB2312" w:hAnsi="仿宋" w:eastAsia="仿宋_GB2312" w:cs="Arial"/>
          <w:sz w:val="32"/>
          <w:szCs w:val="32"/>
          <w:shd w:val="clear" w:color="auto" w:fill="FFFFFF"/>
        </w:rPr>
        <w:t>豆芽中不得检出4-氯苯氧乙酸。豆芽作为一种食用量非常大的蔬菜，4-氯苯氧乙酸钠的残留在人体内的累积所产生的有害作用不容忽视。</w:t>
      </w:r>
    </w:p>
    <w:p>
      <w:pPr>
        <w:spacing w:line="560" w:lineRule="exact"/>
        <w:ind w:firstLine="643" w:firstLineChars="200"/>
        <w:rPr>
          <w:rFonts w:hint="eastAsia" w:ascii="楷体_GB2312" w:hAnsi="楷体" w:eastAsia="楷体_GB2312" w:cs="楷体"/>
          <w:b/>
          <w:bCs/>
          <w:sz w:val="32"/>
          <w:szCs w:val="32"/>
          <w:shd w:val="clear" w:color="auto" w:fill="FFFFFF"/>
        </w:rPr>
      </w:pPr>
      <w:r>
        <w:rPr>
          <w:rFonts w:hint="eastAsia" w:ascii="楷体_GB2312" w:hAnsi="楷体" w:eastAsia="楷体_GB2312" w:cs="楷体"/>
          <w:b/>
          <w:bCs/>
          <w:sz w:val="32"/>
          <w:szCs w:val="32"/>
          <w:shd w:val="clear" w:color="auto" w:fill="FFFFFF"/>
        </w:rPr>
        <w:t>（十一）6-苄基腺嘌呤</w:t>
      </w:r>
    </w:p>
    <w:p>
      <w:pPr>
        <w:pStyle w:val="9"/>
        <w:shd w:val="clear" w:color="auto" w:fill="FFFFFF"/>
        <w:spacing w:before="0" w:beforeAutospacing="0" w:after="0" w:afterAutospacing="0" w:line="560" w:lineRule="exact"/>
        <w:ind w:firstLine="704" w:firstLineChars="220"/>
        <w:rPr>
          <w:rFonts w:ascii="仿宋_GB2312" w:hAnsi="仿宋" w:eastAsia="仿宋_GB2312" w:cs="Arial"/>
          <w:sz w:val="32"/>
          <w:szCs w:val="32"/>
          <w:shd w:val="clear" w:color="auto" w:fill="FFFFFF"/>
        </w:rPr>
      </w:pPr>
      <w:r>
        <w:rPr>
          <w:rFonts w:hint="eastAsia" w:ascii="仿宋_GB2312" w:hAnsi="仿宋" w:eastAsia="仿宋_GB2312" w:cs="Arial"/>
          <w:sz w:val="32"/>
          <w:szCs w:val="32"/>
          <w:shd w:val="clear" w:color="auto" w:fill="FFFFFF"/>
        </w:rPr>
        <w:t>6-苄基腺嘌呤是</w:t>
      </w:r>
      <w:r>
        <w:rPr>
          <w:rFonts w:ascii="仿宋_GB2312" w:hAnsi="仿宋" w:eastAsia="仿宋_GB2312" w:cs="Arial"/>
          <w:sz w:val="32"/>
          <w:szCs w:val="32"/>
          <w:shd w:val="clear" w:color="auto" w:fill="FFFFFF"/>
        </w:rPr>
        <w:t>一种广泛使用的添加于植物生长培养基的细胞分裂素。具有抑制植物叶内叶绿素、核酸、蛋白质的分解，保绿防老;将</w:t>
      </w:r>
      <w:r>
        <w:fldChar w:fldCharType="begin"/>
      </w:r>
      <w:r>
        <w:instrText xml:space="preserve"> HYPERLINK "https://baike.so.com/doc/914377-966548.html" \t "_blank" </w:instrText>
      </w:r>
      <w:r>
        <w:fldChar w:fldCharType="separate"/>
      </w:r>
      <w:r>
        <w:rPr>
          <w:rFonts w:ascii="仿宋_GB2312" w:hAnsi="仿宋" w:eastAsia="仿宋_GB2312"/>
          <w:sz w:val="32"/>
          <w:szCs w:val="32"/>
        </w:rPr>
        <w:t>氨基酸</w:t>
      </w:r>
      <w:r>
        <w:rPr>
          <w:rFonts w:ascii="仿宋_GB2312" w:hAnsi="仿宋" w:eastAsia="仿宋_GB2312"/>
          <w:sz w:val="32"/>
          <w:szCs w:val="32"/>
        </w:rPr>
        <w:fldChar w:fldCharType="end"/>
      </w:r>
      <w:r>
        <w:rPr>
          <w:rFonts w:ascii="仿宋_GB2312" w:hAnsi="仿宋" w:eastAsia="仿宋_GB2312" w:cs="Arial"/>
          <w:sz w:val="32"/>
          <w:szCs w:val="32"/>
          <w:shd w:val="clear" w:color="auto" w:fill="FFFFFF"/>
        </w:rPr>
        <w:t>、</w:t>
      </w:r>
      <w:r>
        <w:fldChar w:fldCharType="begin"/>
      </w:r>
      <w:r>
        <w:instrText xml:space="preserve"> HYPERLINK "https://baike.so.com/doc/626543-663171.html" \t "_blank" </w:instrText>
      </w:r>
      <w:r>
        <w:fldChar w:fldCharType="separate"/>
      </w:r>
      <w:r>
        <w:rPr>
          <w:rFonts w:ascii="仿宋_GB2312" w:hAnsi="仿宋" w:eastAsia="仿宋_GB2312"/>
          <w:sz w:val="32"/>
          <w:szCs w:val="32"/>
        </w:rPr>
        <w:t>生长素</w:t>
      </w:r>
      <w:r>
        <w:rPr>
          <w:rFonts w:ascii="仿宋_GB2312" w:hAnsi="仿宋" w:eastAsia="仿宋_GB2312"/>
          <w:sz w:val="32"/>
          <w:szCs w:val="32"/>
        </w:rPr>
        <w:fldChar w:fldCharType="end"/>
      </w:r>
      <w:r>
        <w:rPr>
          <w:rFonts w:ascii="仿宋_GB2312" w:hAnsi="仿宋" w:eastAsia="仿宋_GB2312" w:cs="Arial"/>
          <w:sz w:val="32"/>
          <w:szCs w:val="32"/>
          <w:shd w:val="clear" w:color="auto" w:fill="FFFFFF"/>
        </w:rPr>
        <w:t>、无机盐等向处理部位调运等多种效能，广泛用在农业、果树和园艺作物从发芽到收获的各个阶段</w:t>
      </w:r>
      <w:r>
        <w:rPr>
          <w:rFonts w:hint="eastAsia" w:ascii="仿宋_GB2312" w:hAnsi="仿宋" w:eastAsia="仿宋_GB2312" w:cs="Arial"/>
          <w:sz w:val="32"/>
          <w:szCs w:val="32"/>
          <w:shd w:val="clear" w:color="auto" w:fill="FFFFFF"/>
        </w:rPr>
        <w:t>。</w:t>
      </w:r>
      <w:r>
        <w:rPr>
          <w:rFonts w:hint="eastAsia" w:ascii="仿宋_GB2312" w:hAnsi="仿宋" w:eastAsia="仿宋_GB2312"/>
          <w:sz w:val="32"/>
          <w:szCs w:val="32"/>
        </w:rPr>
        <w:t>《关于豆芽生产过程中禁止使用 6-苄基腺嘌呤 等物质的公告》</w:t>
      </w:r>
      <w:r>
        <w:rPr>
          <w:rFonts w:hint="eastAsia" w:ascii="仿宋_GB2312" w:hAnsi="仿宋" w:eastAsia="仿宋_GB2312"/>
          <w:sz w:val="32"/>
          <w:szCs w:val="32"/>
          <w:lang w:val="zh-CN"/>
        </w:rPr>
        <w:t>(</w:t>
      </w:r>
      <w:r>
        <w:rPr>
          <w:rFonts w:hint="eastAsia" w:ascii="仿宋_GB2312" w:hAnsi="仿宋" w:eastAsia="仿宋_GB2312"/>
          <w:sz w:val="32"/>
          <w:szCs w:val="32"/>
        </w:rPr>
        <w:t>国家食品药品监督管理总局、农业部、国家卫 生和计划生育委员会公告 2015年第11号</w:t>
      </w:r>
      <w:r>
        <w:rPr>
          <w:rFonts w:hint="eastAsia" w:ascii="仿宋_GB2312" w:hAnsi="仿宋" w:eastAsia="仿宋_GB2312"/>
          <w:sz w:val="32"/>
          <w:szCs w:val="32"/>
          <w:lang w:val="zh-CN"/>
        </w:rPr>
        <w:t>)</w:t>
      </w:r>
      <w:r>
        <w:rPr>
          <w:rFonts w:hint="eastAsia" w:ascii="仿宋_GB2312" w:hAnsi="仿宋" w:eastAsia="仿宋_GB2312"/>
          <w:sz w:val="32"/>
          <w:szCs w:val="32"/>
        </w:rPr>
        <w:t>中要求，</w:t>
      </w:r>
      <w:r>
        <w:rPr>
          <w:rFonts w:hint="eastAsia" w:ascii="仿宋_GB2312" w:hAnsi="仿宋" w:eastAsia="仿宋_GB2312" w:cs="Arial"/>
          <w:sz w:val="32"/>
          <w:szCs w:val="32"/>
          <w:shd w:val="clear" w:color="auto" w:fill="FFFFFF"/>
        </w:rPr>
        <w:t>豆芽中不得检出6-苄基腺嘌呤。</w:t>
      </w:r>
      <w:r>
        <w:rPr>
          <w:rFonts w:ascii="仿宋_GB2312" w:hAnsi="仿宋" w:eastAsia="仿宋_GB2312"/>
          <w:sz w:val="32"/>
          <w:szCs w:val="32"/>
        </w:rPr>
        <w:t>6-苄基腺嘌呤在豆芽中添加过量后，会导致儿童发育早熟，女性生理改变，老年人骨质疏松等，甚至有致癌可能</w:t>
      </w:r>
      <w:r>
        <w:rPr>
          <w:rFonts w:hint="eastAsia" w:ascii="仿宋_GB2312" w:hAnsi="仿宋" w:eastAsia="仿宋_GB2312"/>
          <w:sz w:val="32"/>
          <w:szCs w:val="32"/>
        </w:rPr>
        <w:t>。</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（十二）</w:t>
      </w:r>
      <w:r>
        <w:rPr>
          <w:rFonts w:hint="eastAsia" w:ascii="楷体_GB2312" w:hAnsi="楷体" w:eastAsia="楷体_GB2312" w:cs="仿宋_GB2312"/>
          <w:b/>
          <w:sz w:val="32"/>
          <w:szCs w:val="32"/>
        </w:rPr>
        <w:t>苯甲酸及其钠盐</w:t>
      </w:r>
    </w:p>
    <w:p>
      <w:pPr>
        <w:spacing w:line="600" w:lineRule="exact"/>
        <w:ind w:firstLine="640" w:firstLineChars="200"/>
        <w:jc w:val="left"/>
        <w:textAlignment w:val="baseline"/>
        <w:rPr>
          <w:rFonts w:ascii="仿宋_GB2312" w:hAnsi="仿宋" w:eastAsia="仿宋_GB2312"/>
          <w:sz w:val="32"/>
          <w:szCs w:val="32"/>
        </w:rPr>
      </w:pPr>
      <w:r>
        <w:rPr>
          <w:rFonts w:hint="eastAsia" w:ascii="仿宋_GB2312" w:hAnsi="仿宋" w:eastAsia="仿宋_GB2312"/>
          <w:sz w:val="32"/>
          <w:szCs w:val="32"/>
        </w:rPr>
        <w:t>苯甲酸及其钠盐是食品工业中常见的一种防腐保鲜剂，对霉菌、酵母和细菌有较好的抑制作用。《食品安全国家标准食品添加剂使用标准》（GB 2760-2014）中规定，</w:t>
      </w:r>
      <w:r>
        <w:rPr>
          <w:rFonts w:hint="eastAsia" w:ascii="仿宋_GB2312" w:hAnsi="仿宋"/>
          <w:sz w:val="32"/>
          <w:szCs w:val="32"/>
          <w:lang w:eastAsia="zh-CN"/>
        </w:rPr>
        <w:t>蔬菜干</w:t>
      </w:r>
      <w:r>
        <w:rPr>
          <w:rFonts w:hint="eastAsia" w:ascii="仿宋_GB2312" w:hAnsi="仿宋" w:eastAsia="仿宋_GB2312"/>
          <w:sz w:val="32"/>
          <w:szCs w:val="32"/>
        </w:rPr>
        <w:t>制品中不得使用苯甲酸及其钠盐（以苯甲酸计）。苯甲酸及其钠盐的安全性较高，少量苯甲酸对人体无毒害，可随尿液排出体外，在人体内不会蓄积，但人体若长期过量食入苯甲酸超标的食品可能会对肝脏功能产生一定影响。</w:t>
      </w:r>
    </w:p>
    <w:p>
      <w:pPr>
        <w:spacing w:line="560" w:lineRule="exact"/>
        <w:ind w:firstLine="643" w:firstLineChars="200"/>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（十</w:t>
      </w:r>
      <w:r>
        <w:rPr>
          <w:rFonts w:hint="eastAsia" w:ascii="楷体_GB2312" w:hAnsi="楷体" w:eastAsia="楷体_GB2312" w:cs="Arial"/>
          <w:b/>
          <w:sz w:val="32"/>
          <w:szCs w:val="32"/>
          <w:shd w:val="clear" w:color="auto" w:fill="FFFFFF"/>
          <w:lang w:eastAsia="zh-CN"/>
        </w:rPr>
        <w:t>三</w:t>
      </w:r>
      <w:r>
        <w:rPr>
          <w:rFonts w:hint="eastAsia" w:ascii="楷体_GB2312" w:hAnsi="楷体" w:eastAsia="楷体_GB2312" w:cs="Arial"/>
          <w:b/>
          <w:sz w:val="32"/>
          <w:szCs w:val="32"/>
          <w:shd w:val="clear" w:color="auto" w:fill="FFFFFF"/>
        </w:rPr>
        <w:t>）毒死蜱</w:t>
      </w:r>
    </w:p>
    <w:p>
      <w:pPr>
        <w:pStyle w:val="20"/>
        <w:spacing w:line="560" w:lineRule="exact"/>
        <w:ind w:firstLine="640"/>
        <w:rPr>
          <w:rFonts w:ascii="仿宋_GB2312" w:hAnsi="仿宋" w:eastAsia="仿宋_GB2312"/>
          <w:sz w:val="32"/>
          <w:szCs w:val="32"/>
        </w:rPr>
      </w:pPr>
      <w:r>
        <w:rPr>
          <w:rFonts w:ascii="仿宋_GB2312" w:hAnsi="仿宋" w:eastAsia="仿宋_GB2312"/>
          <w:sz w:val="32"/>
          <w:szCs w:val="32"/>
        </w:rPr>
        <w:t>毒死蜱是一种具有触杀、胃毒和熏蒸作用的有机磷杀虫剂。《食品安全国家标准 食品中农药最大残留限量》（GB 2763-20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eastAsia="仿宋_GB2312"/>
          <w:sz w:val="32"/>
          <w:szCs w:val="32"/>
        </w:rPr>
        <w:t>，</w:t>
      </w:r>
      <w:r>
        <w:rPr>
          <w:rFonts w:hint="eastAsia" w:ascii="仿宋_GB2312" w:hAnsi="仿宋" w:eastAsia="仿宋_GB2312"/>
          <w:sz w:val="32"/>
          <w:szCs w:val="32"/>
          <w:lang w:eastAsia="zh-CN"/>
        </w:rPr>
        <w:t>叶菜类蔬菜（芹菜除外）</w:t>
      </w:r>
      <w:r>
        <w:rPr>
          <w:rFonts w:hint="eastAsia" w:ascii="仿宋_GB2312" w:hAnsi="仿宋" w:eastAsia="仿宋_GB2312"/>
          <w:sz w:val="32"/>
          <w:szCs w:val="32"/>
        </w:rPr>
        <w:t>的</w:t>
      </w:r>
      <w:r>
        <w:rPr>
          <w:rFonts w:ascii="仿宋_GB2312" w:hAnsi="仿宋" w:eastAsia="仿宋_GB2312"/>
          <w:sz w:val="32"/>
          <w:szCs w:val="32"/>
        </w:rPr>
        <w:t>毒死蜱残留限量值</w:t>
      </w:r>
      <w:r>
        <w:rPr>
          <w:rFonts w:hint="eastAsia" w:ascii="仿宋_GB2312" w:hAnsi="仿宋" w:eastAsia="仿宋_GB2312"/>
          <w:sz w:val="32"/>
          <w:szCs w:val="32"/>
        </w:rPr>
        <w:t>≤</w:t>
      </w:r>
      <w:r>
        <w:rPr>
          <w:rFonts w:ascii="仿宋_GB2312" w:hAnsi="仿宋" w:eastAsia="仿宋_GB2312"/>
          <w:sz w:val="32"/>
          <w:szCs w:val="32"/>
        </w:rPr>
        <w:t>0.</w:t>
      </w:r>
      <w:r>
        <w:rPr>
          <w:rFonts w:hint="eastAsia" w:ascii="仿宋_GB2312" w:hAnsi="仿宋" w:eastAsia="仿宋_GB2312"/>
          <w:sz w:val="32"/>
          <w:szCs w:val="32"/>
          <w:lang w:val="en-US" w:eastAsia="zh-CN"/>
        </w:rPr>
        <w:t>02</w:t>
      </w:r>
      <w:r>
        <w:rPr>
          <w:rFonts w:ascii="仿宋_GB2312" w:hAnsi="仿宋" w:eastAsia="仿宋_GB2312"/>
          <w:sz w:val="32"/>
          <w:szCs w:val="32"/>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numPr>
          <w:ilvl w:val="0"/>
          <w:numId w:val="0"/>
        </w:numPr>
        <w:spacing w:line="560" w:lineRule="exact"/>
        <w:ind w:left="640" w:leftChars="0"/>
        <w:rPr>
          <w:rFonts w:hint="eastAsia"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lang w:eastAsia="zh-CN"/>
        </w:rPr>
        <w:t>（十四）</w:t>
      </w:r>
      <w:r>
        <w:rPr>
          <w:rFonts w:hint="eastAsia" w:ascii="楷体_GB2312" w:hAnsi="楷体" w:eastAsia="楷体_GB2312" w:cs="Arial"/>
          <w:b/>
          <w:sz w:val="32"/>
          <w:szCs w:val="32"/>
          <w:shd w:val="clear" w:color="auto" w:fill="FFFFFF"/>
        </w:rPr>
        <w:t>多西环素（强力霉素）</w:t>
      </w:r>
    </w:p>
    <w:p>
      <w:pPr>
        <w:numPr>
          <w:ilvl w:val="0"/>
          <w:numId w:val="0"/>
        </w:numPr>
        <w:spacing w:line="560" w:lineRule="exact"/>
        <w:ind w:firstLine="640" w:firstLineChars="200"/>
        <w:rPr>
          <w:rFonts w:hint="eastAsia" w:ascii="仿宋_GB2312" w:hAnsi="仿宋" w:eastAsia="仿宋_GB2312" w:cs="Times New Roman"/>
          <w:b w:val="0"/>
          <w:kern w:val="2"/>
          <w:sz w:val="32"/>
          <w:szCs w:val="32"/>
          <w:lang w:val="en-US" w:eastAsia="zh-CN" w:bidi="ar-SA"/>
        </w:rPr>
      </w:pPr>
      <w:r>
        <w:rPr>
          <w:rFonts w:hint="eastAsia" w:ascii="仿宋_GB2312" w:hAnsi="仿宋" w:eastAsia="仿宋_GB2312" w:cs="Times New Roman"/>
          <w:b w:val="0"/>
          <w:kern w:val="2"/>
          <w:sz w:val="32"/>
          <w:szCs w:val="32"/>
          <w:lang w:val="en-US" w:eastAsia="zh-CN" w:bidi="ar-SA"/>
        </w:rPr>
        <w:t>多西环素（强力霉素）是一种四环素类药物，一般用于治疗衣原体支原体感染。《食品安全国家标准 食品中兽药最大残留限量》（GB 31650-2019）中规定，多西环素（强力霉素）在禽的肌肉中最高残留限量为100μg/kg，但产蛋期家禽禁用（鸡蛋中不得检出多西环素）。长期食用多西环素（强力霉素）残留超标的食品，可使病原体产生耐药性，对人体健康有一定影响。</w:t>
      </w:r>
    </w:p>
    <w:p>
      <w:pPr>
        <w:spacing w:line="560" w:lineRule="exact"/>
        <w:ind w:firstLine="643" w:firstLineChars="200"/>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w:t>
      </w:r>
      <w:r>
        <w:rPr>
          <w:rFonts w:hint="eastAsia" w:ascii="楷体_GB2312" w:hAnsi="楷体" w:eastAsia="楷体_GB2312" w:cs="Arial"/>
          <w:b/>
          <w:sz w:val="32"/>
          <w:szCs w:val="32"/>
          <w:shd w:val="clear" w:color="auto" w:fill="FFFFFF"/>
          <w:lang w:eastAsia="zh-CN"/>
        </w:rPr>
        <w:t>十五</w:t>
      </w:r>
      <w:r>
        <w:rPr>
          <w:rFonts w:hint="eastAsia" w:ascii="楷体_GB2312" w:hAnsi="楷体" w:eastAsia="楷体_GB2312" w:cs="Arial"/>
          <w:b/>
          <w:sz w:val="32"/>
          <w:szCs w:val="32"/>
          <w:shd w:val="clear" w:color="auto" w:fill="FFFFFF"/>
        </w:rPr>
        <w:t>）腐霉利</w:t>
      </w:r>
    </w:p>
    <w:p>
      <w:pPr>
        <w:spacing w:line="560" w:lineRule="exact"/>
        <w:ind w:firstLine="640" w:firstLineChars="200"/>
        <w:rPr>
          <w:rFonts w:ascii="仿宋_GB2312" w:hAnsi="楷体" w:eastAsia="仿宋_GB2312" w:cs="Arial"/>
          <w:b/>
          <w:sz w:val="32"/>
          <w:szCs w:val="32"/>
          <w:shd w:val="clear" w:color="auto" w:fill="FFFFFF"/>
        </w:rPr>
      </w:pPr>
      <w:r>
        <w:rPr>
          <w:rFonts w:hint="eastAsia" w:ascii="仿宋_GB2312" w:hAnsi="仿宋" w:eastAsia="仿宋_GB2312" w:cs="仿宋"/>
          <w:sz w:val="32"/>
          <w:szCs w:val="32"/>
        </w:rPr>
        <w:t>腐霉利是一种低毒内吸性杀菌剂，具有保护和治疗双重作用，主要用于蔬菜及果树的灰霉病防治。《食品安全国家标准 食品中农药最大残留限量》（GB 2763-20</w:t>
      </w:r>
      <w:r>
        <w:rPr>
          <w:rFonts w:hint="eastAsia" w:ascii="仿宋_GB2312" w:hAnsi="仿宋" w:eastAsia="仿宋_GB2312" w:cs="仿宋"/>
          <w:sz w:val="32"/>
          <w:szCs w:val="32"/>
          <w:lang w:val="en-US" w:eastAsia="zh-CN"/>
        </w:rPr>
        <w:t>21</w:t>
      </w:r>
      <w:r>
        <w:rPr>
          <w:rFonts w:hint="eastAsia" w:ascii="仿宋_GB2312" w:hAnsi="仿宋" w:eastAsia="仿宋_GB2312" w:cs="仿宋"/>
          <w:sz w:val="32"/>
          <w:szCs w:val="32"/>
        </w:rPr>
        <w:t>）中规定，韭菜中腐霉利应</w:t>
      </w:r>
      <w:r>
        <w:rPr>
          <w:rFonts w:hint="eastAsia" w:ascii="仿宋_GB2312" w:eastAsia="仿宋_GB2312"/>
          <w:sz w:val="32"/>
          <w:szCs w:val="32"/>
        </w:rPr>
        <w:t>≤</w:t>
      </w:r>
      <w:r>
        <w:rPr>
          <w:rFonts w:hint="eastAsia" w:ascii="仿宋_GB2312" w:hAnsi="仿宋" w:eastAsia="仿宋_GB2312" w:cs="仿宋"/>
          <w:sz w:val="32"/>
          <w:szCs w:val="32"/>
        </w:rPr>
        <w:t>0.2mg/kg。腐霉利对眼睛与皮肤有刺激作用，经口毒性低。少量腐霉利残留不会引起人体急性中毒，但</w:t>
      </w:r>
      <w:r>
        <w:rPr>
          <w:rFonts w:hint="eastAsia" w:ascii="仿宋_GB2312" w:hAnsi="仿宋" w:eastAsia="仿宋_GB2312"/>
          <w:sz w:val="32"/>
          <w:szCs w:val="32"/>
        </w:rPr>
        <w:t>大量摄入</w:t>
      </w:r>
      <w:r>
        <w:rPr>
          <w:rFonts w:hint="eastAsia" w:ascii="仿宋_GB2312" w:hAnsi="仿宋" w:eastAsia="仿宋_GB2312" w:cs="仿宋"/>
          <w:sz w:val="32"/>
          <w:szCs w:val="32"/>
        </w:rPr>
        <w:t>农药残留超标的食品，</w:t>
      </w:r>
      <w:r>
        <w:rPr>
          <w:rFonts w:hint="eastAsia" w:ascii="仿宋_GB2312" w:hAnsi="仿宋" w:eastAsia="仿宋_GB2312"/>
          <w:sz w:val="32"/>
          <w:szCs w:val="32"/>
        </w:rPr>
        <w:t>会损害肝脏、甲状腺和肾脏</w:t>
      </w:r>
      <w:r>
        <w:rPr>
          <w:rFonts w:hint="eastAsia" w:ascii="仿宋_GB2312" w:hAnsi="仿宋" w:eastAsia="仿宋_GB2312" w:cs="仿宋"/>
          <w:sz w:val="32"/>
          <w:szCs w:val="32"/>
        </w:rPr>
        <w:t>。</w:t>
      </w:r>
    </w:p>
    <w:p>
      <w:pPr>
        <w:spacing w:line="560" w:lineRule="exact"/>
        <w:ind w:firstLine="643" w:firstLineChars="200"/>
        <w:rPr>
          <w:rFonts w:hint="eastAsia"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lang w:eastAsia="zh-CN"/>
        </w:rPr>
        <w:t>（十六）</w:t>
      </w:r>
      <w:r>
        <w:rPr>
          <w:rFonts w:hint="eastAsia" w:ascii="楷体_GB2312" w:hAnsi="楷体" w:eastAsia="楷体_GB2312" w:cs="Arial"/>
          <w:b/>
          <w:sz w:val="32"/>
          <w:szCs w:val="32"/>
          <w:shd w:val="clear" w:color="auto" w:fill="FFFFFF"/>
        </w:rPr>
        <w:t>甲拌磷</w:t>
      </w:r>
    </w:p>
    <w:p>
      <w:pPr>
        <w:pStyle w:val="2"/>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 w:eastAsia="仿宋_GB2312" w:cs="仿宋"/>
          <w:b w:val="0"/>
          <w:kern w:val="2"/>
          <w:sz w:val="32"/>
          <w:szCs w:val="32"/>
          <w:lang w:val="en-US" w:eastAsia="zh-CN" w:bidi="ar-SA"/>
        </w:rPr>
      </w:pPr>
      <w:r>
        <w:rPr>
          <w:rFonts w:hint="eastAsia" w:ascii="仿宋_GB2312" w:hAnsi="仿宋" w:eastAsia="仿宋_GB2312" w:cs="仿宋"/>
          <w:b w:val="0"/>
          <w:kern w:val="2"/>
          <w:sz w:val="32"/>
          <w:szCs w:val="32"/>
          <w:lang w:val="zh-CN" w:eastAsia="zh-CN" w:bidi="ar-SA"/>
        </w:rPr>
        <w:t>甲拌磷为一种高毒的内吸性杀虫剂、杀螨剂，具有触杀、胃毒、熏蒸作用，持效期较长等特点。《食品安全国家标准食品中农药最大残留限量》（GB 2763</w:t>
      </w:r>
      <w:r>
        <w:rPr>
          <w:rFonts w:hint="eastAsia" w:ascii="仿宋_GB2312" w:hAnsi="仿宋" w:cs="仿宋"/>
          <w:b w:val="0"/>
          <w:kern w:val="2"/>
          <w:sz w:val="32"/>
          <w:szCs w:val="32"/>
          <w:lang w:val="en-US" w:eastAsia="zh-CN" w:bidi="ar-SA"/>
        </w:rPr>
        <w:t>-</w:t>
      </w:r>
      <w:r>
        <w:rPr>
          <w:rFonts w:hint="eastAsia" w:ascii="仿宋_GB2312" w:hAnsi="仿宋" w:eastAsia="仿宋_GB2312" w:cs="仿宋"/>
          <w:b w:val="0"/>
          <w:kern w:val="2"/>
          <w:sz w:val="32"/>
          <w:szCs w:val="32"/>
          <w:lang w:val="zh-CN" w:eastAsia="zh-CN" w:bidi="ar-SA"/>
        </w:rPr>
        <w:t>20</w:t>
      </w:r>
      <w:r>
        <w:rPr>
          <w:rFonts w:hint="eastAsia" w:ascii="仿宋_GB2312" w:hAnsi="仿宋" w:cs="仿宋"/>
          <w:b w:val="0"/>
          <w:kern w:val="2"/>
          <w:sz w:val="32"/>
          <w:szCs w:val="32"/>
          <w:lang w:val="en-US" w:eastAsia="zh-CN" w:bidi="ar-SA"/>
        </w:rPr>
        <w:t>21</w:t>
      </w:r>
      <w:r>
        <w:rPr>
          <w:rFonts w:hint="eastAsia" w:ascii="仿宋_GB2312" w:hAnsi="仿宋" w:eastAsia="仿宋_GB2312" w:cs="仿宋"/>
          <w:b w:val="0"/>
          <w:kern w:val="2"/>
          <w:sz w:val="32"/>
          <w:szCs w:val="32"/>
          <w:lang w:val="zh-CN" w:eastAsia="zh-CN" w:bidi="ar-SA"/>
        </w:rPr>
        <w:t>）中规定，甲拌磷在</w:t>
      </w:r>
      <w:r>
        <w:rPr>
          <w:rFonts w:hint="eastAsia" w:ascii="仿宋_GB2312" w:hAnsi="仿宋" w:cs="仿宋"/>
          <w:b w:val="0"/>
          <w:kern w:val="2"/>
          <w:sz w:val="32"/>
          <w:szCs w:val="32"/>
          <w:lang w:val="zh-CN" w:eastAsia="zh-CN" w:bidi="ar-SA"/>
        </w:rPr>
        <w:t>叶菜</w:t>
      </w:r>
      <w:r>
        <w:rPr>
          <w:rFonts w:hint="eastAsia" w:ascii="仿宋_GB2312" w:hAnsi="仿宋" w:eastAsia="仿宋_GB2312" w:cs="仿宋"/>
          <w:b w:val="0"/>
          <w:kern w:val="2"/>
          <w:sz w:val="32"/>
          <w:szCs w:val="32"/>
          <w:lang w:val="zh-CN" w:eastAsia="zh-CN" w:bidi="ar-SA"/>
        </w:rPr>
        <w:t>类蔬菜</w:t>
      </w:r>
      <w:r>
        <w:rPr>
          <w:rFonts w:hint="eastAsia" w:ascii="仿宋_GB2312" w:hAnsi="仿宋" w:cs="仿宋"/>
          <w:b w:val="0"/>
          <w:kern w:val="2"/>
          <w:sz w:val="32"/>
          <w:szCs w:val="32"/>
          <w:lang w:val="zh-CN" w:eastAsia="zh-CN" w:bidi="ar-SA"/>
        </w:rPr>
        <w:t>中</w:t>
      </w:r>
      <w:r>
        <w:rPr>
          <w:rFonts w:hint="eastAsia" w:ascii="仿宋_GB2312" w:hAnsi="仿宋" w:eastAsia="仿宋_GB2312" w:cs="仿宋"/>
          <w:b w:val="0"/>
          <w:kern w:val="2"/>
          <w:sz w:val="32"/>
          <w:szCs w:val="32"/>
          <w:lang w:val="zh-CN" w:eastAsia="zh-CN" w:bidi="ar-SA"/>
        </w:rPr>
        <w:t>应</w:t>
      </w:r>
      <w:r>
        <w:rPr>
          <w:rFonts w:hint="eastAsia" w:ascii="仿宋_GB2312" w:hAnsi="仿宋" w:eastAsia="仿宋_GB2312" w:cs="仿宋"/>
          <w:b w:val="0"/>
          <w:kern w:val="2"/>
          <w:sz w:val="32"/>
          <w:szCs w:val="32"/>
          <w:lang w:val="en-US" w:eastAsia="zh-CN" w:bidi="ar-SA"/>
        </w:rPr>
        <w:t>≤</w:t>
      </w:r>
      <w:r>
        <w:rPr>
          <w:rFonts w:hint="eastAsia" w:ascii="仿宋_GB2312" w:hAnsi="仿宋" w:eastAsia="仿宋_GB2312" w:cs="仿宋"/>
          <w:b w:val="0"/>
          <w:kern w:val="2"/>
          <w:sz w:val="32"/>
          <w:szCs w:val="32"/>
          <w:lang w:val="zh-CN" w:eastAsia="zh-CN" w:bidi="ar-SA"/>
        </w:rPr>
        <w:t>0.01mg/kg。甲拌磷对人、畜剧毒，短期内大量接触（口服、吸入、皮肤、粘膜）可引起急性中毒。少量的农药残留不会引起人体急性中毒，但长期食用农药残留超标的食品，对人体健康有一定影响。</w:t>
      </w:r>
    </w:p>
    <w:p>
      <w:pPr>
        <w:spacing w:line="560" w:lineRule="exact"/>
        <w:ind w:firstLine="643" w:firstLineChars="200"/>
        <w:rPr>
          <w:rFonts w:ascii="楷体_GB2312" w:hAnsi="仿宋" w:eastAsia="楷体_GB2312" w:cs="宋体"/>
          <w:color w:val="000000"/>
          <w:kern w:val="0"/>
          <w:sz w:val="32"/>
          <w:szCs w:val="32"/>
        </w:rPr>
      </w:pPr>
      <w:r>
        <w:rPr>
          <w:rFonts w:hint="eastAsia" w:ascii="楷体_GB2312" w:hAnsi="楷体" w:eastAsia="楷体_GB2312" w:cs="仿宋_GB2312"/>
          <w:b/>
          <w:sz w:val="32"/>
          <w:szCs w:val="32"/>
        </w:rPr>
        <w:t>（十</w:t>
      </w:r>
      <w:r>
        <w:rPr>
          <w:rFonts w:hint="eastAsia" w:ascii="楷体_GB2312" w:hAnsi="楷体" w:eastAsia="楷体_GB2312" w:cs="仿宋_GB2312"/>
          <w:b/>
          <w:sz w:val="32"/>
          <w:szCs w:val="32"/>
          <w:lang w:eastAsia="zh-CN"/>
        </w:rPr>
        <w:t>七</w:t>
      </w:r>
      <w:r>
        <w:rPr>
          <w:rFonts w:hint="eastAsia" w:ascii="楷体_GB2312" w:hAnsi="楷体" w:eastAsia="楷体_GB2312" w:cs="仿宋_GB2312"/>
          <w:b/>
          <w:sz w:val="32"/>
          <w:szCs w:val="32"/>
        </w:rPr>
        <w:t>）克百威</w:t>
      </w:r>
    </w:p>
    <w:p>
      <w:pPr>
        <w:rPr>
          <w:rFonts w:hint="eastAsia" w:ascii="仿宋_GB2312" w:hAnsi="仿宋" w:eastAsia="仿宋_GB2312"/>
          <w:sz w:val="32"/>
          <w:szCs w:val="32"/>
        </w:rPr>
      </w:pPr>
      <w:r>
        <w:rPr>
          <w:rFonts w:hint="eastAsia" w:ascii="仿宋_GB2312" w:hAnsi="仿宋" w:eastAsia="仿宋_GB2312"/>
          <w:sz w:val="32"/>
          <w:szCs w:val="32"/>
          <w:highlight w:val="none"/>
        </w:rPr>
        <w:t>克百威是一</w:t>
      </w:r>
      <w:r>
        <w:rPr>
          <w:rFonts w:hint="eastAsia" w:ascii="仿宋_GB2312" w:hAnsi="仿宋" w:eastAsia="仿宋_GB2312"/>
          <w:sz w:val="32"/>
          <w:szCs w:val="32"/>
        </w:rPr>
        <w:t>种具有内吸、触杀和胃毒作用的氨基甲酸酯类杀虫剂。《食品安全国家标准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rPr>
        <w:t>）中规定，</w:t>
      </w:r>
      <w:r>
        <w:rPr>
          <w:rFonts w:hint="eastAsia" w:ascii="仿宋_GB2312" w:hAnsi="仿宋"/>
          <w:sz w:val="32"/>
          <w:szCs w:val="32"/>
          <w:lang w:eastAsia="zh-CN"/>
        </w:rPr>
        <w:t>豆类蔬菜</w:t>
      </w:r>
      <w:r>
        <w:rPr>
          <w:rFonts w:hint="eastAsia" w:ascii="仿宋_GB2312" w:hAnsi="仿宋" w:eastAsia="仿宋_GB2312"/>
          <w:sz w:val="32"/>
          <w:szCs w:val="32"/>
        </w:rPr>
        <w:t>中克百威（克百威和3-羟基克百威之和，以克百威计）应≤0.02 mg/kg。克百威对鱼类、鸟类及野生动物有害。对在施药区觅食的鸟类可能致命，这种误食致死的鸟尸可能还会对其他鹰类及肉食鸟类造成危险，并且该农药不易降解，容易造成环境污染。</w:t>
      </w:r>
    </w:p>
    <w:p>
      <w:pPr>
        <w:autoSpaceDN w:val="0"/>
        <w:ind w:firstLine="643" w:firstLineChars="200"/>
        <w:rPr>
          <w:rFonts w:ascii="楷体_GB2312" w:hAnsi="楷体" w:eastAsia="楷体_GB2312" w:cs="仿宋_GB2312"/>
          <w:b/>
          <w:sz w:val="32"/>
          <w:szCs w:val="32"/>
        </w:rPr>
      </w:pPr>
      <w:r>
        <w:rPr>
          <w:rFonts w:hint="eastAsia" w:ascii="楷体_GB2312" w:hAnsi="楷体" w:eastAsia="楷体_GB2312" w:cs="仿宋_GB2312"/>
          <w:b/>
          <w:color w:val="000000"/>
          <w:sz w:val="32"/>
          <w:szCs w:val="32"/>
        </w:rPr>
        <w:t>（</w:t>
      </w:r>
      <w:r>
        <w:rPr>
          <w:rFonts w:hint="eastAsia" w:ascii="楷体_GB2312" w:hAnsi="楷体" w:eastAsia="楷体_GB2312" w:cs="仿宋_GB2312"/>
          <w:b/>
          <w:color w:val="000000"/>
          <w:sz w:val="32"/>
          <w:szCs w:val="32"/>
          <w:lang w:eastAsia="zh-CN"/>
        </w:rPr>
        <w:t>十八</w:t>
      </w:r>
      <w:r>
        <w:rPr>
          <w:rFonts w:hint="eastAsia" w:ascii="楷体_GB2312" w:hAnsi="楷体" w:eastAsia="楷体_GB2312" w:cs="仿宋_GB2312"/>
          <w:b/>
          <w:color w:val="000000"/>
          <w:sz w:val="32"/>
          <w:szCs w:val="32"/>
        </w:rPr>
        <w:t>）</w:t>
      </w:r>
      <w:r>
        <w:rPr>
          <w:rFonts w:hint="eastAsia" w:ascii="楷体_GB2312" w:hAnsi="楷体" w:eastAsia="楷体_GB2312" w:cs="仿宋_GB2312"/>
          <w:b/>
          <w:sz w:val="32"/>
          <w:szCs w:val="32"/>
        </w:rPr>
        <w:t>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铅是一种能够在生物体内蓄积且排除缓慢的重金属污染物。《食品安全国家标准 食品中污染物限量》（GB 2762-2017）中规定，</w:t>
      </w:r>
      <w:r>
        <w:rPr>
          <w:rFonts w:hint="eastAsia" w:ascii="仿宋_GB2312" w:hAnsi="仿宋" w:eastAsia="仿宋_GB2312"/>
          <w:sz w:val="32"/>
          <w:szCs w:val="32"/>
        </w:rPr>
        <w:t>干制蔬菜中的铅(以Pb计)应≤0.1/(1-脱水率)(mg/kg)</w:t>
      </w:r>
      <w:r>
        <w:rPr>
          <w:rFonts w:hint="eastAsia" w:ascii="仿宋_GB2312" w:hAnsi="仿宋"/>
          <w:sz w:val="32"/>
          <w:szCs w:val="32"/>
          <w:lang w:eastAsia="zh-CN"/>
        </w:rPr>
        <w:t>。</w:t>
      </w:r>
      <w:r>
        <w:rPr>
          <w:rFonts w:hint="eastAsia" w:ascii="仿宋_GB2312" w:hAnsi="仿宋" w:eastAsia="仿宋_GB2312"/>
          <w:color w:val="auto"/>
          <w:sz w:val="32"/>
          <w:szCs w:val="32"/>
        </w:rPr>
        <w:t>铅蓄积在体内可能会影响大脑和神经系统，尤其会对儿童造成智力发育障碍和表现行为异常。</w:t>
      </w:r>
    </w:p>
    <w:p>
      <w:pPr>
        <w:rPr>
          <w:rFonts w:ascii="楷体_GB2312" w:hAnsi="宋体" w:eastAsia="楷体_GB2312" w:cs="宋体"/>
          <w:b/>
          <w:kern w:val="0"/>
          <w:sz w:val="32"/>
          <w:szCs w:val="32"/>
        </w:rPr>
      </w:pPr>
      <w:r>
        <w:rPr>
          <w:rFonts w:hint="eastAsia" w:ascii="楷体_GB2312" w:hAnsi="宋体" w:eastAsia="楷体_GB2312" w:cs="宋体"/>
          <w:b/>
          <w:kern w:val="0"/>
          <w:sz w:val="32"/>
          <w:szCs w:val="32"/>
        </w:rPr>
        <w:t>（</w:t>
      </w:r>
      <w:r>
        <w:rPr>
          <w:rFonts w:hint="eastAsia" w:ascii="楷体_GB2312" w:hAnsi="宋体" w:eastAsia="楷体_GB2312" w:cs="宋体"/>
          <w:b/>
          <w:kern w:val="0"/>
          <w:sz w:val="32"/>
          <w:szCs w:val="32"/>
          <w:lang w:eastAsia="zh-CN"/>
        </w:rPr>
        <w:t>十九</w:t>
      </w:r>
      <w:r>
        <w:rPr>
          <w:rFonts w:hint="eastAsia" w:ascii="楷体_GB2312" w:hAnsi="宋体" w:eastAsia="楷体_GB2312" w:cs="宋体"/>
          <w:b/>
          <w:kern w:val="0"/>
          <w:sz w:val="32"/>
          <w:szCs w:val="32"/>
        </w:rPr>
        <w:t>）铜绿假单胞菌</w:t>
      </w:r>
    </w:p>
    <w:p>
      <w:pPr>
        <w:spacing w:line="560" w:lineRule="exact"/>
        <w:ind w:firstLine="640" w:firstLineChars="200"/>
        <w:rPr>
          <w:rFonts w:ascii="仿宋_GB2312" w:hAnsi="仿宋" w:eastAsia="仿宋_GB2312" w:cs="宋体"/>
          <w:sz w:val="32"/>
          <w:szCs w:val="32"/>
        </w:rPr>
      </w:pPr>
      <w:r>
        <w:rPr>
          <w:rFonts w:hint="eastAsia" w:ascii="仿宋_GB2312" w:hAnsi="仿宋" w:eastAsia="仿宋_GB2312" w:cs="宋体"/>
          <w:sz w:val="32"/>
          <w:szCs w:val="32"/>
        </w:rPr>
        <w:t>铜绿假单胞菌广泛分布于水、空气、正常人的皮肤、呼吸道和肠道等处，对消毒剂、紫外线等具有较强的抵抗力，是一种条件致病菌。《食品安全国家标准 包装饮用水》（GB 19298-2014）中规定，在5件包装饮用水样品中，铜绿假单胞菌的检测结果均不得超过0 CFU/250mL。抵抗力较差的人群若饮用铜绿假单胞菌不合格的瓶（桶）装水会</w:t>
      </w:r>
      <w:r>
        <w:rPr>
          <w:rFonts w:hint="eastAsia" w:ascii="仿宋_GB2312" w:hAnsi="仿宋" w:eastAsia="仿宋_GB2312"/>
          <w:sz w:val="32"/>
          <w:szCs w:val="32"/>
          <w:shd w:val="clear" w:color="auto" w:fill="FFFFFF"/>
        </w:rPr>
        <w:t>容易引起急性肠道炎、脑膜炎、败血症和皮肤炎症等疾病</w:t>
      </w:r>
      <w:r>
        <w:rPr>
          <w:rFonts w:hint="eastAsia" w:ascii="仿宋_GB2312" w:hAnsi="仿宋" w:eastAsia="仿宋_GB2312" w:cs="宋体"/>
          <w:sz w:val="32"/>
          <w:szCs w:val="32"/>
        </w:rPr>
        <w:t>。</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rPr>
        <w:t>(</w:t>
      </w:r>
      <w:r>
        <w:rPr>
          <w:rFonts w:hint="eastAsia" w:ascii="楷体_GB2312" w:hAnsi="楷体" w:eastAsia="楷体_GB2312" w:cs="仿宋_GB2312"/>
          <w:b/>
          <w:sz w:val="32"/>
          <w:szCs w:val="32"/>
          <w:lang w:eastAsia="zh-CN"/>
        </w:rPr>
        <w:t>二十</w:t>
      </w:r>
      <w:r>
        <w:rPr>
          <w:rFonts w:hint="eastAsia" w:ascii="楷体_GB2312" w:hAnsi="楷体" w:eastAsia="楷体_GB2312" w:cs="仿宋_GB2312"/>
          <w:b/>
          <w:sz w:val="32"/>
          <w:szCs w:val="32"/>
        </w:rPr>
        <w:t>)维生素A</w:t>
      </w:r>
    </w:p>
    <w:p>
      <w:pPr>
        <w:pStyle w:val="9"/>
        <w:shd w:val="clear" w:color="auto" w:fill="FFFFFF"/>
        <w:spacing w:before="0" w:beforeAutospacing="0" w:after="0" w:afterAutospacing="0" w:line="560" w:lineRule="exact"/>
        <w:ind w:firstLine="640" w:firstLineChars="200"/>
        <w:jc w:val="both"/>
        <w:rPr>
          <w:rFonts w:ascii="仿宋_GB2312" w:hAnsi="仿宋" w:eastAsia="仿宋_GB2312"/>
          <w:color w:val="auto"/>
          <w:sz w:val="32"/>
          <w:szCs w:val="32"/>
        </w:rPr>
      </w:pPr>
      <w:r>
        <w:rPr>
          <w:rFonts w:hint="eastAsia" w:ascii="仿宋_GB2312" w:hAnsi="仿宋" w:eastAsia="仿宋_GB2312"/>
          <w:sz w:val="32"/>
          <w:szCs w:val="32"/>
        </w:rPr>
        <w:t>维生素A又称维生素甲、视黄醇等，为脂溶性维生素品种，有助于维持暗视</w:t>
      </w:r>
      <w:r>
        <w:rPr>
          <w:rFonts w:hint="eastAsia" w:ascii="仿宋_GB2312" w:hAnsi="仿宋" w:eastAsia="仿宋_GB2312"/>
          <w:color w:val="auto"/>
          <w:sz w:val="32"/>
          <w:szCs w:val="32"/>
        </w:rPr>
        <w:t>力、皮肤和粘膜健康，可提高机体免疫功能、促进生长和骨骼发育</w:t>
      </w:r>
      <w:r>
        <w:rPr>
          <w:rFonts w:hint="eastAsia" w:ascii="仿宋_GB2312" w:hAnsi="仿宋" w:eastAsia="仿宋_GB2312"/>
          <w:color w:val="auto"/>
          <w:sz w:val="32"/>
          <w:szCs w:val="32"/>
          <w:lang w:eastAsia="zh-CN"/>
        </w:rPr>
        <w:t>。</w:t>
      </w:r>
      <w:r>
        <w:rPr>
          <w:rFonts w:hint="eastAsia" w:ascii="仿宋_GB2312" w:hAnsi="仿宋" w:eastAsia="仿宋_GB2312"/>
          <w:sz w:val="32"/>
          <w:szCs w:val="32"/>
          <w:lang w:eastAsia="zh-CN"/>
        </w:rPr>
        <w:t>本次抽检不合格产品所执行企业标准</w:t>
      </w:r>
      <w:r>
        <w:rPr>
          <w:rFonts w:hint="eastAsia" w:ascii="仿宋_GB2312" w:hAnsi="仿宋" w:eastAsia="仿宋_GB2312"/>
          <w:sz w:val="32"/>
          <w:szCs w:val="32"/>
          <w:lang w:val="en-US" w:eastAsia="zh-CN"/>
        </w:rPr>
        <w:t>中规定</w:t>
      </w:r>
      <w:r>
        <w:rPr>
          <w:rFonts w:hint="eastAsia" w:ascii="仿宋_GB2312" w:hAnsi="仿宋" w:eastAsia="仿宋_GB2312"/>
          <w:sz w:val="32"/>
          <w:szCs w:val="32"/>
        </w:rPr>
        <w:t>，本产品维生素A的含量范围为</w:t>
      </w:r>
      <w:r>
        <w:rPr>
          <w:rFonts w:hint="eastAsia" w:ascii="仿宋_GB2312" w:hAnsi="仿宋" w:eastAsia="仿宋_GB2312"/>
          <w:color w:val="0000FF"/>
          <w:sz w:val="32"/>
          <w:szCs w:val="32"/>
          <w:lang w:eastAsia="zh-CN"/>
        </w:rPr>
        <w:t>（</w:t>
      </w:r>
      <w:r>
        <w:rPr>
          <w:rFonts w:hint="eastAsia" w:ascii="仿宋_GB2312" w:hAnsi="仿宋" w:eastAsia="仿宋_GB2312"/>
          <w:sz w:val="32"/>
          <w:szCs w:val="32"/>
        </w:rPr>
        <w:t>64～</w:t>
      </w:r>
      <w:r>
        <w:rPr>
          <w:rFonts w:hint="eastAsia" w:ascii="仿宋_GB2312" w:hAnsi="仿宋" w:eastAsia="仿宋_GB2312"/>
          <w:sz w:val="32"/>
          <w:szCs w:val="32"/>
          <w:lang w:val="en-US" w:eastAsia="zh-CN"/>
        </w:rPr>
        <w:t>1</w:t>
      </w:r>
      <w:r>
        <w:rPr>
          <w:rFonts w:hint="eastAsia" w:ascii="仿宋_GB2312" w:hAnsi="仿宋" w:eastAsia="仿宋_GB2312"/>
          <w:sz w:val="32"/>
          <w:szCs w:val="32"/>
        </w:rPr>
        <w:t>44</w:t>
      </w:r>
      <w:r>
        <w:rPr>
          <w:rFonts w:hint="eastAsia" w:ascii="仿宋_GB2312" w:hAnsi="仿宋" w:eastAsia="仿宋_GB2312"/>
          <w:color w:val="0000FF"/>
          <w:sz w:val="32"/>
          <w:szCs w:val="32"/>
          <w:lang w:eastAsia="zh-CN"/>
        </w:rPr>
        <w:t>）</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mg/100g。营养素补充剂类保健食品中营养素含量达不</w:t>
      </w:r>
      <w:r>
        <w:rPr>
          <w:rFonts w:hint="eastAsia" w:ascii="仿宋_GB2312" w:hAnsi="仿宋" w:eastAsia="仿宋_GB2312"/>
          <w:color w:val="auto"/>
          <w:sz w:val="32"/>
          <w:szCs w:val="32"/>
        </w:rPr>
        <w:t>到标准要求，说明该产品在质量上存在缺陷，可能达不到宣称的保健功能或保健功能不足。</w:t>
      </w:r>
    </w:p>
    <w:p>
      <w:pPr>
        <w:keepNext w:val="0"/>
        <w:keepLines w:val="0"/>
        <w:pageBreakBefore w:val="0"/>
        <w:kinsoku/>
        <w:wordWrap/>
        <w:overflowPunct/>
        <w:topLinePunct w:val="0"/>
        <w:autoSpaceDE/>
        <w:autoSpaceDN/>
        <w:bidi w:val="0"/>
        <w:adjustRightInd/>
        <w:snapToGrid/>
        <w:spacing w:line="560" w:lineRule="exact"/>
        <w:ind w:firstLine="643" w:firstLineChars="200"/>
        <w:rPr>
          <w:rFonts w:hint="eastAsia" w:ascii="楷体_GB2312" w:hAnsi="楷体" w:eastAsia="楷体_GB2312"/>
          <w:b/>
          <w:color w:val="auto"/>
          <w:sz w:val="32"/>
          <w:szCs w:val="32"/>
          <w:lang w:val="en-US" w:eastAsia="zh-CN"/>
        </w:rPr>
      </w:pPr>
      <w:r>
        <w:rPr>
          <w:rFonts w:hint="eastAsia" w:ascii="楷体_GB2312" w:hAnsi="楷体" w:eastAsia="楷体_GB2312"/>
          <w:b/>
          <w:color w:val="auto"/>
          <w:sz w:val="32"/>
          <w:szCs w:val="32"/>
          <w:lang w:val="en-US" w:eastAsia="zh-CN"/>
        </w:rPr>
        <w:t>（二十一）维生素B</w:t>
      </w:r>
      <w:r>
        <w:rPr>
          <w:rFonts w:hint="eastAsia" w:ascii="楷体_GB2312" w:hAnsi="楷体" w:eastAsia="楷体_GB2312"/>
          <w:b/>
          <w:color w:val="auto"/>
          <w:sz w:val="32"/>
          <w:szCs w:val="32"/>
          <w:vertAlign w:val="subscript"/>
          <w:lang w:val="en-US" w:eastAsia="zh-CN"/>
        </w:rPr>
        <w:t>2</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仿宋_GB2312" w:hAnsi="仿宋" w:eastAsia="仿宋_GB2312" w:cs="宋体"/>
          <w:color w:val="auto"/>
          <w:kern w:val="0"/>
          <w:sz w:val="32"/>
          <w:szCs w:val="32"/>
          <w:highlight w:val="none"/>
          <w:lang w:val="zh-CN"/>
        </w:rPr>
      </w:pPr>
      <w:r>
        <w:rPr>
          <w:rFonts w:hint="eastAsia" w:ascii="仿宋_GB2312" w:hAnsi="仿宋" w:eastAsia="仿宋_GB2312"/>
          <w:sz w:val="32"/>
          <w:szCs w:val="32"/>
          <w:lang w:eastAsia="zh-CN"/>
        </w:rPr>
        <w:t>维生</w:t>
      </w:r>
      <w:r>
        <w:rPr>
          <w:rFonts w:hint="eastAsia" w:ascii="仿宋_GB2312" w:hAnsi="仿宋" w:eastAsia="仿宋_GB2312" w:cs="宋体"/>
          <w:color w:val="auto"/>
          <w:kern w:val="0"/>
          <w:sz w:val="32"/>
          <w:szCs w:val="32"/>
          <w:lang w:val="en-US" w:eastAsia="zh-CN" w:bidi="ar-SA"/>
        </w:rPr>
        <w:t>素B</w:t>
      </w:r>
      <w:r>
        <w:rPr>
          <w:rFonts w:hint="eastAsia" w:ascii="仿宋_GB2312" w:hAnsi="仿宋" w:eastAsia="仿宋_GB2312" w:cs="宋体"/>
          <w:color w:val="auto"/>
          <w:kern w:val="0"/>
          <w:sz w:val="32"/>
          <w:szCs w:val="32"/>
          <w:vertAlign w:val="subscript"/>
          <w:lang w:val="en-US" w:eastAsia="zh-CN" w:bidi="ar-SA"/>
        </w:rPr>
        <w:t>2</w:t>
      </w:r>
      <w:r>
        <w:rPr>
          <w:rFonts w:hint="eastAsia" w:ascii="仿宋_GB2312" w:hAnsi="仿宋" w:eastAsia="仿宋_GB2312" w:cs="宋体"/>
          <w:color w:val="auto"/>
          <w:kern w:val="0"/>
          <w:sz w:val="32"/>
          <w:szCs w:val="32"/>
          <w:lang w:val="en-US" w:eastAsia="zh-CN" w:bidi="ar-SA"/>
        </w:rPr>
        <w:t>又称核黄素,</w:t>
      </w:r>
      <w:r>
        <w:rPr>
          <w:rFonts w:hint="eastAsia" w:ascii="仿宋_GB2312" w:hAnsi="仿宋" w:eastAsia="仿宋_GB2312" w:cs="宋体"/>
          <w:kern w:val="0"/>
          <w:sz w:val="32"/>
          <w:szCs w:val="32"/>
          <w:lang w:val="en-US" w:eastAsia="zh-CN" w:bidi="ar-SA"/>
        </w:rPr>
        <w:t>参与体内生物氧化与能量代谢，提高机体对环境应激适应能力等。</w:t>
      </w:r>
      <w:r>
        <w:rPr>
          <w:rFonts w:hint="eastAsia" w:ascii="仿宋_GB2312" w:hAnsi="仿宋" w:eastAsia="仿宋_GB2312"/>
          <w:sz w:val="32"/>
          <w:szCs w:val="32"/>
          <w:lang w:eastAsia="zh-CN"/>
        </w:rPr>
        <w:t>本次抽检不合格产品所执行企业标准</w:t>
      </w:r>
      <w:r>
        <w:rPr>
          <w:rFonts w:hint="eastAsia" w:ascii="仿宋_GB2312" w:hAnsi="仿宋" w:eastAsia="仿宋_GB2312"/>
          <w:sz w:val="32"/>
          <w:szCs w:val="32"/>
          <w:lang w:val="en-US" w:eastAsia="zh-CN"/>
        </w:rPr>
        <w:t>中规定</w:t>
      </w:r>
      <w:r>
        <w:rPr>
          <w:rFonts w:hint="eastAsia" w:ascii="仿宋_GB2312" w:hAnsi="仿宋" w:eastAsia="仿宋_GB2312"/>
          <w:sz w:val="32"/>
          <w:szCs w:val="32"/>
        </w:rPr>
        <w:t>，本产品维生素</w:t>
      </w:r>
      <w:r>
        <w:rPr>
          <w:rFonts w:hint="eastAsia" w:ascii="仿宋_GB2312" w:hAnsi="仿宋" w:eastAsia="仿宋_GB2312" w:cs="宋体"/>
          <w:color w:val="auto"/>
          <w:kern w:val="0"/>
          <w:sz w:val="32"/>
          <w:szCs w:val="32"/>
          <w:lang w:val="en-US" w:eastAsia="zh-CN" w:bidi="ar-SA"/>
        </w:rPr>
        <w:t>B</w:t>
      </w:r>
      <w:r>
        <w:rPr>
          <w:rFonts w:hint="eastAsia" w:ascii="仿宋_GB2312" w:hAnsi="仿宋" w:eastAsia="仿宋_GB2312" w:cs="宋体"/>
          <w:color w:val="auto"/>
          <w:kern w:val="0"/>
          <w:sz w:val="32"/>
          <w:szCs w:val="32"/>
          <w:vertAlign w:val="subscript"/>
          <w:lang w:val="en-US" w:eastAsia="zh-CN" w:bidi="ar-SA"/>
        </w:rPr>
        <w:t>2</w:t>
      </w:r>
      <w:r>
        <w:rPr>
          <w:rFonts w:hint="eastAsia" w:ascii="仿宋_GB2312" w:hAnsi="仿宋" w:eastAsia="仿宋_GB2312"/>
          <w:sz w:val="32"/>
          <w:szCs w:val="32"/>
        </w:rPr>
        <w:t>的含量范围为</w:t>
      </w:r>
      <w:r>
        <w:rPr>
          <w:rFonts w:hint="eastAsia" w:ascii="仿宋_GB2312" w:hAnsi="仿宋"/>
          <w:color w:val="0000FF"/>
          <w:sz w:val="32"/>
          <w:szCs w:val="32"/>
          <w:lang w:eastAsia="zh-CN"/>
        </w:rPr>
        <w:t>（</w:t>
      </w:r>
      <w:r>
        <w:rPr>
          <w:rFonts w:hint="eastAsia" w:ascii="仿宋_GB2312" w:hAnsi="仿宋"/>
          <w:sz w:val="32"/>
          <w:szCs w:val="32"/>
          <w:lang w:val="en-US" w:eastAsia="zh-CN"/>
        </w:rPr>
        <w:t>96</w:t>
      </w:r>
      <w:r>
        <w:rPr>
          <w:rFonts w:hint="eastAsia" w:ascii="仿宋_GB2312" w:hAnsi="仿宋" w:eastAsia="仿宋_GB2312"/>
          <w:sz w:val="32"/>
          <w:szCs w:val="32"/>
        </w:rPr>
        <w:t>～</w:t>
      </w:r>
      <w:r>
        <w:rPr>
          <w:rFonts w:hint="eastAsia" w:ascii="仿宋_GB2312" w:hAnsi="仿宋"/>
          <w:sz w:val="32"/>
          <w:szCs w:val="32"/>
          <w:lang w:val="en-US" w:eastAsia="zh-CN"/>
        </w:rPr>
        <w:t>216</w:t>
      </w:r>
      <w:r>
        <w:rPr>
          <w:rFonts w:hint="eastAsia" w:ascii="仿宋_GB2312" w:hAnsi="仿宋"/>
          <w:color w:val="0000FF"/>
          <w:sz w:val="32"/>
          <w:szCs w:val="32"/>
          <w:lang w:eastAsia="zh-CN"/>
        </w:rPr>
        <w:t>）</w:t>
      </w:r>
      <w:bookmarkStart w:id="0" w:name="_GoBack"/>
      <w:bookmarkEnd w:id="0"/>
      <w:r>
        <w:rPr>
          <w:rFonts w:hint="eastAsia" w:ascii="仿宋_GB2312" w:hAnsi="仿宋" w:eastAsia="仿宋_GB2312"/>
          <w:sz w:val="32"/>
          <w:szCs w:val="32"/>
        </w:rPr>
        <w:t>mg/100g。</w:t>
      </w:r>
      <w:r>
        <w:rPr>
          <w:rFonts w:hint="eastAsia" w:ascii="仿宋_GB2312" w:hAnsi="仿宋" w:eastAsia="仿宋_GB2312" w:cs="宋体"/>
          <w:kern w:val="0"/>
          <w:sz w:val="32"/>
          <w:szCs w:val="32"/>
          <w:lang w:val="en-US" w:eastAsia="zh-CN" w:bidi="ar-SA"/>
        </w:rPr>
        <w:t xml:space="preserve">维生素 </w:t>
      </w:r>
      <w:r>
        <w:rPr>
          <w:rFonts w:hint="default" w:ascii="仿宋_GB2312" w:hAnsi="仿宋" w:eastAsia="仿宋_GB2312" w:cs="宋体"/>
          <w:kern w:val="0"/>
          <w:sz w:val="32"/>
          <w:szCs w:val="32"/>
          <w:lang w:val="en-US" w:eastAsia="zh-CN" w:bidi="ar-SA"/>
        </w:rPr>
        <w:t>B</w:t>
      </w:r>
      <w:r>
        <w:rPr>
          <w:rFonts w:hint="default" w:ascii="仿宋_GB2312" w:hAnsi="仿宋" w:eastAsia="仿宋_GB2312" w:cs="宋体"/>
          <w:kern w:val="0"/>
          <w:sz w:val="32"/>
          <w:szCs w:val="32"/>
          <w:vertAlign w:val="subscript"/>
          <w:lang w:val="en-US" w:eastAsia="zh-CN" w:bidi="ar-SA"/>
        </w:rPr>
        <w:t>2</w:t>
      </w:r>
      <w:r>
        <w:rPr>
          <w:rFonts w:hint="eastAsia" w:ascii="仿宋_GB2312" w:hAnsi="仿宋" w:eastAsia="仿宋_GB2312" w:cs="宋体"/>
          <w:kern w:val="0"/>
          <w:sz w:val="32"/>
          <w:szCs w:val="32"/>
          <w:lang w:val="en-US" w:eastAsia="zh-CN" w:bidi="ar-SA"/>
        </w:rPr>
        <w:t xml:space="preserve">缺乏常伴有其他营养素缺乏，如影响维生素 </w:t>
      </w:r>
      <w:r>
        <w:rPr>
          <w:rFonts w:hint="default" w:ascii="仿宋_GB2312" w:hAnsi="仿宋" w:eastAsia="仿宋_GB2312" w:cs="宋体"/>
          <w:kern w:val="0"/>
          <w:sz w:val="32"/>
          <w:szCs w:val="32"/>
          <w:lang w:val="en-US" w:eastAsia="zh-CN" w:bidi="ar-SA"/>
        </w:rPr>
        <w:t>B</w:t>
      </w:r>
      <w:r>
        <w:rPr>
          <w:rFonts w:hint="default" w:ascii="仿宋_GB2312" w:hAnsi="仿宋" w:eastAsia="仿宋_GB2312" w:cs="宋体"/>
          <w:kern w:val="0"/>
          <w:sz w:val="32"/>
          <w:szCs w:val="32"/>
          <w:vertAlign w:val="subscript"/>
          <w:lang w:val="en-US" w:eastAsia="zh-CN" w:bidi="ar-SA"/>
        </w:rPr>
        <w:t>6</w:t>
      </w:r>
      <w:r>
        <w:rPr>
          <w:rFonts w:hint="eastAsia" w:ascii="仿宋_GB2312" w:hAnsi="仿宋" w:eastAsia="仿宋_GB2312" w:cs="宋体"/>
          <w:kern w:val="0"/>
          <w:sz w:val="32"/>
          <w:szCs w:val="32"/>
          <w:lang w:val="en-US" w:eastAsia="zh-CN" w:bidi="ar-SA"/>
        </w:rPr>
        <w:t xml:space="preserve">和烟酸的代谢，干扰体内铁的吸收、储存和动员，严重时可造成缺铁性贫血。维生素 </w:t>
      </w:r>
      <w:r>
        <w:rPr>
          <w:rFonts w:hint="default" w:ascii="仿宋_GB2312" w:hAnsi="仿宋" w:eastAsia="仿宋_GB2312" w:cs="宋体"/>
          <w:kern w:val="0"/>
          <w:sz w:val="32"/>
          <w:szCs w:val="32"/>
          <w:lang w:val="en-US" w:eastAsia="zh-CN" w:bidi="ar-SA"/>
        </w:rPr>
        <w:t>B</w:t>
      </w:r>
      <w:r>
        <w:rPr>
          <w:rFonts w:hint="default" w:ascii="仿宋_GB2312" w:hAnsi="仿宋" w:eastAsia="仿宋_GB2312" w:cs="宋体"/>
          <w:kern w:val="0"/>
          <w:sz w:val="32"/>
          <w:szCs w:val="32"/>
          <w:vertAlign w:val="subscript"/>
          <w:lang w:val="en-US" w:eastAsia="zh-CN" w:bidi="ar-SA"/>
        </w:rPr>
        <w:t>2</w:t>
      </w:r>
      <w:r>
        <w:rPr>
          <w:rFonts w:hint="default" w:ascii="仿宋_GB2312" w:hAnsi="仿宋" w:eastAsia="仿宋_GB2312" w:cs="宋体"/>
          <w:kern w:val="0"/>
          <w:sz w:val="32"/>
          <w:szCs w:val="32"/>
          <w:lang w:val="en-US" w:eastAsia="zh-CN" w:bidi="ar-SA"/>
        </w:rPr>
        <w:t xml:space="preserve"> </w:t>
      </w:r>
      <w:r>
        <w:rPr>
          <w:rFonts w:hint="eastAsia" w:ascii="仿宋_GB2312" w:hAnsi="仿宋" w:eastAsia="仿宋_GB2312" w:cs="宋体"/>
          <w:kern w:val="0"/>
          <w:sz w:val="32"/>
          <w:szCs w:val="32"/>
          <w:lang w:val="en-US" w:eastAsia="zh-CN" w:bidi="ar-SA"/>
        </w:rPr>
        <w:t>缺乏还会影响生长发育。</w:t>
      </w:r>
      <w:r>
        <w:rPr>
          <w:rFonts w:hint="eastAsia" w:ascii="仿宋_GB2312" w:hAnsi="仿宋" w:eastAsia="仿宋_GB2312" w:cs="Times New Roman"/>
          <w:color w:val="auto"/>
          <w:sz w:val="32"/>
          <w:szCs w:val="32"/>
          <w:highlight w:val="none"/>
          <w:lang w:val="zh-CN"/>
        </w:rPr>
        <w:t>维</w:t>
      </w:r>
      <w:r>
        <w:rPr>
          <w:rFonts w:ascii="仿宋_GB2312" w:hAnsi="仿宋" w:eastAsia="仿宋_GB2312" w:cs="宋体"/>
          <w:color w:val="auto"/>
          <w:kern w:val="0"/>
          <w:sz w:val="32"/>
          <w:szCs w:val="32"/>
          <w:highlight w:val="none"/>
          <w:lang w:val="zh-CN"/>
        </w:rPr>
        <w:t>生素</w:t>
      </w:r>
      <w:r>
        <w:rPr>
          <w:rFonts w:hint="default" w:ascii="仿宋_GB2312" w:hAnsi="仿宋" w:eastAsia="仿宋_GB2312" w:cs="宋体"/>
          <w:kern w:val="0"/>
          <w:sz w:val="32"/>
          <w:szCs w:val="32"/>
          <w:lang w:val="en-US" w:eastAsia="zh-CN" w:bidi="ar-SA"/>
        </w:rPr>
        <w:t>B</w:t>
      </w:r>
      <w:r>
        <w:rPr>
          <w:rFonts w:hint="default" w:ascii="仿宋_GB2312" w:hAnsi="仿宋" w:eastAsia="仿宋_GB2312" w:cs="宋体"/>
          <w:kern w:val="0"/>
          <w:sz w:val="32"/>
          <w:szCs w:val="32"/>
          <w:vertAlign w:val="subscript"/>
          <w:lang w:val="en-US" w:eastAsia="zh-CN" w:bidi="ar-SA"/>
        </w:rPr>
        <w:t>2</w:t>
      </w:r>
      <w:r>
        <w:rPr>
          <w:rFonts w:ascii="仿宋_GB2312" w:hAnsi="仿宋" w:eastAsia="仿宋_GB2312" w:cs="宋体"/>
          <w:color w:val="auto"/>
          <w:kern w:val="0"/>
          <w:sz w:val="32"/>
          <w:szCs w:val="32"/>
          <w:highlight w:val="none"/>
          <w:lang w:val="zh-CN"/>
        </w:rPr>
        <w:t>含量不达标原因，可能是由于受生产工艺条件的限制，在生产加工过程中损耗了大量的营养物质；</w:t>
      </w:r>
      <w:r>
        <w:rPr>
          <w:rFonts w:hint="eastAsia" w:ascii="仿宋_GB2312" w:hAnsi="仿宋" w:cs="宋体"/>
          <w:color w:val="auto"/>
          <w:kern w:val="0"/>
          <w:sz w:val="32"/>
          <w:szCs w:val="32"/>
          <w:highlight w:val="none"/>
          <w:lang w:val="zh-CN"/>
        </w:rPr>
        <w:t>或</w:t>
      </w:r>
      <w:r>
        <w:rPr>
          <w:rFonts w:ascii="仿宋_GB2312" w:hAnsi="仿宋" w:eastAsia="仿宋_GB2312" w:cs="宋体"/>
          <w:color w:val="auto"/>
          <w:kern w:val="0"/>
          <w:sz w:val="32"/>
          <w:szCs w:val="32"/>
          <w:highlight w:val="none"/>
          <w:lang w:val="zh-CN"/>
        </w:rPr>
        <w:t>企业未按标签明示值或企业标准的要求进行添加等。</w:t>
      </w:r>
    </w:p>
    <w:p>
      <w:pPr>
        <w:spacing w:line="560" w:lineRule="exact"/>
        <w:ind w:firstLine="643" w:firstLineChars="200"/>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w:t>
      </w:r>
      <w:r>
        <w:rPr>
          <w:rFonts w:hint="eastAsia" w:ascii="楷体_GB2312" w:hAnsi="楷体" w:eastAsia="楷体_GB2312" w:cs="Arial"/>
          <w:b/>
          <w:sz w:val="32"/>
          <w:szCs w:val="32"/>
          <w:shd w:val="clear" w:color="auto" w:fill="FFFFFF"/>
          <w:lang w:eastAsia="zh-CN"/>
        </w:rPr>
        <w:t>二十二</w:t>
      </w:r>
      <w:r>
        <w:rPr>
          <w:rFonts w:hint="eastAsia" w:ascii="楷体_GB2312" w:hAnsi="楷体" w:eastAsia="楷体_GB2312" w:cs="Arial"/>
          <w:b/>
          <w:sz w:val="32"/>
          <w:szCs w:val="32"/>
          <w:shd w:val="clear" w:color="auto" w:fill="FFFFFF"/>
        </w:rPr>
        <w:t>）氧乐果</w:t>
      </w:r>
    </w:p>
    <w:p>
      <w:pPr>
        <w:spacing w:line="560" w:lineRule="exact"/>
        <w:ind w:firstLine="640" w:firstLineChars="200"/>
        <w:rPr>
          <w:rFonts w:ascii="仿宋_GB2312" w:hAnsi="楷体" w:eastAsia="仿宋_GB2312" w:cs="Arial"/>
          <w:b/>
          <w:sz w:val="32"/>
          <w:szCs w:val="32"/>
          <w:shd w:val="clear" w:color="auto" w:fill="FFFFFF"/>
        </w:rPr>
      </w:pPr>
      <w:r>
        <w:rPr>
          <w:rFonts w:hint="eastAsia" w:ascii="仿宋_GB2312" w:hAnsi="仿宋" w:eastAsia="仿宋_GB2312"/>
          <w:sz w:val="32"/>
          <w:szCs w:val="32"/>
        </w:rPr>
        <w:t>氧乐果是一种内吸性强，杀虫活性高的杀虫剂。《食品安全国家标准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rPr>
        <w:t>）中规定，</w:t>
      </w:r>
      <w:r>
        <w:rPr>
          <w:rFonts w:hint="eastAsia" w:ascii="仿宋_GB2312" w:hAnsi="仿宋" w:eastAsia="仿宋_GB2312"/>
          <w:color w:val="auto"/>
          <w:sz w:val="32"/>
          <w:szCs w:val="32"/>
        </w:rPr>
        <w:t>豆类蔬菜中氧乐果残留限量值应≤0.02mg/kg。大部分喷洒的氧乐果会逸散在周围的土壤、大气、水体中，造成生态系统的污染，有可能会对环境生物产生潜在危害；蔬菜、水果中残留的氧乐果进入人</w:t>
      </w:r>
      <w:r>
        <w:rPr>
          <w:rFonts w:hint="eastAsia" w:ascii="仿宋_GB2312" w:hAnsi="仿宋" w:eastAsia="仿宋_GB2312"/>
          <w:sz w:val="32"/>
          <w:szCs w:val="32"/>
        </w:rPr>
        <w:t>体后对体内胆碱酯酶有抑制作用，可能会对人体造成各种急慢性毒性，甚至致癌致突变。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（一）加强原辅料的把控</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9"/>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w:t>
      </w:r>
      <w:r>
        <w:rPr>
          <w:rFonts w:hint="eastAsia" w:ascii="楷体_GB2312" w:hAnsi="楷体" w:eastAsia="楷体_GB2312"/>
          <w:b/>
          <w:color w:val="auto"/>
          <w:sz w:val="32"/>
          <w:szCs w:val="32"/>
          <w:lang w:eastAsia="zh-CN"/>
        </w:rPr>
        <w:t>运输、存储环境</w:t>
      </w:r>
      <w:r>
        <w:rPr>
          <w:rFonts w:hint="eastAsia" w:ascii="楷体_GB2312" w:hAnsi="楷体" w:eastAsia="楷体_GB2312"/>
          <w:b/>
          <w:color w:val="auto"/>
          <w:sz w:val="32"/>
          <w:szCs w:val="32"/>
        </w:rPr>
        <w:t>控制</w:t>
      </w:r>
    </w:p>
    <w:p>
      <w:pPr>
        <w:pStyle w:val="9"/>
        <w:shd w:val="clear" w:color="auto" w:fill="FFFFFF"/>
        <w:spacing w:before="0" w:beforeAutospacing="0" w:after="0" w:afterAutospacing="0" w:line="560" w:lineRule="exact"/>
        <w:ind w:firstLine="640" w:firstLineChars="200"/>
        <w:rPr>
          <w:rFonts w:hint="eastAsia" w:ascii="仿宋_GB2312" w:hAnsi="仿宋"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4"/>
          <w:rFonts w:ascii="楷体_GB2312" w:hAnsi="楷体" w:eastAsia="楷体_GB2312"/>
          <w:color w:val="auto"/>
          <w:sz w:val="32"/>
          <w:szCs w:val="32"/>
          <w:highlight w:val="none"/>
        </w:rPr>
      </w:pPr>
      <w:r>
        <w:rPr>
          <w:rStyle w:val="14"/>
          <w:rFonts w:hint="eastAsia" w:ascii="楷体_GB2312" w:hAnsi="楷体" w:eastAsia="楷体_GB2312"/>
          <w:color w:val="auto"/>
          <w:sz w:val="32"/>
          <w:szCs w:val="32"/>
          <w:highlight w:val="none"/>
        </w:rPr>
        <w:t>（</w:t>
      </w:r>
      <w:r>
        <w:rPr>
          <w:rStyle w:val="14"/>
          <w:rFonts w:hint="eastAsia" w:ascii="楷体_GB2312" w:hAnsi="楷体" w:eastAsia="楷体_GB2312"/>
          <w:color w:val="auto"/>
          <w:sz w:val="32"/>
          <w:szCs w:val="32"/>
          <w:highlight w:val="none"/>
          <w:lang w:eastAsia="zh-CN"/>
        </w:rPr>
        <w:t>四</w:t>
      </w:r>
      <w:r>
        <w:rPr>
          <w:rStyle w:val="14"/>
          <w:rFonts w:hint="eastAsia" w:ascii="楷体_GB2312" w:hAnsi="楷体" w:eastAsia="楷体_GB2312"/>
          <w:color w:val="auto"/>
          <w:sz w:val="32"/>
          <w:szCs w:val="32"/>
          <w:highlight w:val="none"/>
        </w:rPr>
        <w:t>）提高食品添加剂安全使用意识</w:t>
      </w:r>
    </w:p>
    <w:p>
      <w:pPr>
        <w:pStyle w:val="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_GB2312" w:cs="仿宋_GB2312"/>
          <w:color w:val="auto"/>
          <w:sz w:val="32"/>
          <w:szCs w:val="32"/>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E83042F-5DCA-46EF-A8F4-B07D883BECB5}"/>
  </w:font>
  <w:font w:name="黑体">
    <w:panose1 w:val="02010609060101010101"/>
    <w:charset w:val="86"/>
    <w:family w:val="auto"/>
    <w:pitch w:val="default"/>
    <w:sig w:usb0="800002BF" w:usb1="38CF7CFA" w:usb2="00000016" w:usb3="00000000" w:csb0="00040001" w:csb1="00000000"/>
    <w:embedRegular r:id="rId2" w:fontKey="{DD6251FA-A06E-4FB6-A360-742CA2E0E0F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6464CE92-67A8-4CBC-B7E5-B6B04F588638}"/>
  </w:font>
  <w:font w:name="楷体_GB2312">
    <w:panose1 w:val="02010609030101010101"/>
    <w:charset w:val="86"/>
    <w:family w:val="auto"/>
    <w:pitch w:val="default"/>
    <w:sig w:usb0="00000001" w:usb1="080E0000" w:usb2="00000000" w:usb3="00000000" w:csb0="00040000" w:csb1="00000000"/>
    <w:embedRegular r:id="rId4" w:fontKey="{9FB05D1A-BC67-4867-9A62-A5C950F289C4}"/>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5" w:fontKey="{A660A901-9D9D-4B82-A6CA-1E493921CFCA}"/>
  </w:font>
  <w:font w:name="华文中宋">
    <w:panose1 w:val="02010600040101010101"/>
    <w:charset w:val="86"/>
    <w:family w:val="auto"/>
    <w:pitch w:val="default"/>
    <w:sig w:usb0="00000287" w:usb1="080F0000" w:usb2="00000000" w:usb3="00000000" w:csb0="0004009F" w:csb1="DFD70000"/>
    <w:embedRegular r:id="rId6" w:fontKey="{39A32696-0876-4511-A98E-259A6BE655D3}"/>
  </w:font>
  <w:font w:name="楷体">
    <w:panose1 w:val="02010609060101010101"/>
    <w:charset w:val="86"/>
    <w:family w:val="modern"/>
    <w:pitch w:val="default"/>
    <w:sig w:usb0="800002BF" w:usb1="38CF7CFA" w:usb2="00000016" w:usb3="00000000" w:csb0="00040001" w:csb1="00000000"/>
    <w:embedRegular r:id="rId7" w:fontKey="{47E4BB82-8ADF-4A1B-8F50-89A592EEDE35}"/>
  </w:font>
  <w:font w:name="仿宋">
    <w:panose1 w:val="02010609060101010101"/>
    <w:charset w:val="86"/>
    <w:family w:val="modern"/>
    <w:pitch w:val="default"/>
    <w:sig w:usb0="800002BF" w:usb1="38CF7CFA" w:usb2="00000016" w:usb3="00000000" w:csb0="00040001" w:csb1="00000000"/>
    <w:embedRegular r:id="rId8" w:fontKey="{FD23866C-A663-4725-8BFD-9F1B66B5D74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29B92E"/>
    <w:multiLevelType w:val="singleLevel"/>
    <w:tmpl w:val="0229B92E"/>
    <w:lvl w:ilvl="0" w:tentative="0">
      <w:start w:val="8"/>
      <w:numFmt w:val="chineseCounting"/>
      <w:suff w:val="nothing"/>
      <w:lvlText w:val="（%1）"/>
      <w:lvlJc w:val="left"/>
      <w:rPr>
        <w:rFonts w:hint="eastAsia"/>
      </w:rPr>
    </w:lvl>
  </w:abstractNum>
  <w:abstractNum w:abstractNumId="1">
    <w:nsid w:val="5BB36E8D"/>
    <w:multiLevelType w:val="singleLevel"/>
    <w:tmpl w:val="5BB36E8D"/>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0139C9"/>
    <w:rsid w:val="006B1DCC"/>
    <w:rsid w:val="00724BD2"/>
    <w:rsid w:val="008D6C99"/>
    <w:rsid w:val="00B977A2"/>
    <w:rsid w:val="00BE4BAD"/>
    <w:rsid w:val="010D4506"/>
    <w:rsid w:val="017D0269"/>
    <w:rsid w:val="01880CE2"/>
    <w:rsid w:val="01D53863"/>
    <w:rsid w:val="01DD3C4D"/>
    <w:rsid w:val="03365C46"/>
    <w:rsid w:val="034743C9"/>
    <w:rsid w:val="034F1986"/>
    <w:rsid w:val="03E020C5"/>
    <w:rsid w:val="03FD00B3"/>
    <w:rsid w:val="055921C9"/>
    <w:rsid w:val="055A195A"/>
    <w:rsid w:val="0597115B"/>
    <w:rsid w:val="06261016"/>
    <w:rsid w:val="066C5CEA"/>
    <w:rsid w:val="06F0528D"/>
    <w:rsid w:val="07C82C95"/>
    <w:rsid w:val="07E04EFC"/>
    <w:rsid w:val="081209FA"/>
    <w:rsid w:val="081B38E6"/>
    <w:rsid w:val="08AD06EB"/>
    <w:rsid w:val="08F00F9F"/>
    <w:rsid w:val="091C5D20"/>
    <w:rsid w:val="0A101FAB"/>
    <w:rsid w:val="0A545255"/>
    <w:rsid w:val="0AEA5DCE"/>
    <w:rsid w:val="0B66492E"/>
    <w:rsid w:val="0C455D22"/>
    <w:rsid w:val="0C6F4539"/>
    <w:rsid w:val="0CD4225F"/>
    <w:rsid w:val="0D6C4E32"/>
    <w:rsid w:val="0E431583"/>
    <w:rsid w:val="0EA926E5"/>
    <w:rsid w:val="0EA93008"/>
    <w:rsid w:val="0EC839C2"/>
    <w:rsid w:val="0F261454"/>
    <w:rsid w:val="10AD16A7"/>
    <w:rsid w:val="1162065F"/>
    <w:rsid w:val="11B32DA0"/>
    <w:rsid w:val="11BA183E"/>
    <w:rsid w:val="11CE6913"/>
    <w:rsid w:val="11E172CB"/>
    <w:rsid w:val="1210526E"/>
    <w:rsid w:val="12AF7645"/>
    <w:rsid w:val="12B51B83"/>
    <w:rsid w:val="139A1CB2"/>
    <w:rsid w:val="13E774D5"/>
    <w:rsid w:val="141B2394"/>
    <w:rsid w:val="1499532A"/>
    <w:rsid w:val="1512088F"/>
    <w:rsid w:val="155219D3"/>
    <w:rsid w:val="15FE7C46"/>
    <w:rsid w:val="16396F4B"/>
    <w:rsid w:val="164E1FAB"/>
    <w:rsid w:val="165773C2"/>
    <w:rsid w:val="16A52765"/>
    <w:rsid w:val="176818BF"/>
    <w:rsid w:val="17C62E78"/>
    <w:rsid w:val="17FA5E44"/>
    <w:rsid w:val="181E6360"/>
    <w:rsid w:val="18F91C2D"/>
    <w:rsid w:val="199008F8"/>
    <w:rsid w:val="19EB104A"/>
    <w:rsid w:val="1A19393D"/>
    <w:rsid w:val="1A81096D"/>
    <w:rsid w:val="1AC759AF"/>
    <w:rsid w:val="1B042E72"/>
    <w:rsid w:val="1B7E0D88"/>
    <w:rsid w:val="1C2B3ECE"/>
    <w:rsid w:val="1C354059"/>
    <w:rsid w:val="1D3D5D17"/>
    <w:rsid w:val="1E3C794C"/>
    <w:rsid w:val="1EFD4E3F"/>
    <w:rsid w:val="1F456A61"/>
    <w:rsid w:val="1FEA3D63"/>
    <w:rsid w:val="200B2815"/>
    <w:rsid w:val="208760C8"/>
    <w:rsid w:val="2103478D"/>
    <w:rsid w:val="219C06C7"/>
    <w:rsid w:val="231A399D"/>
    <w:rsid w:val="248553AF"/>
    <w:rsid w:val="249A66FD"/>
    <w:rsid w:val="255973C6"/>
    <w:rsid w:val="255D305C"/>
    <w:rsid w:val="257D0D7B"/>
    <w:rsid w:val="25D84592"/>
    <w:rsid w:val="26635934"/>
    <w:rsid w:val="26D25598"/>
    <w:rsid w:val="27084E46"/>
    <w:rsid w:val="274815F0"/>
    <w:rsid w:val="27537B32"/>
    <w:rsid w:val="27D171E0"/>
    <w:rsid w:val="282A264F"/>
    <w:rsid w:val="28664823"/>
    <w:rsid w:val="29292876"/>
    <w:rsid w:val="295771E6"/>
    <w:rsid w:val="29DF09A6"/>
    <w:rsid w:val="2A706ED1"/>
    <w:rsid w:val="2A95365C"/>
    <w:rsid w:val="2ACC6C6B"/>
    <w:rsid w:val="2C6F3579"/>
    <w:rsid w:val="2C784420"/>
    <w:rsid w:val="2D2D024C"/>
    <w:rsid w:val="2DA27B95"/>
    <w:rsid w:val="2DCA4231"/>
    <w:rsid w:val="2E172668"/>
    <w:rsid w:val="2E6B3A9D"/>
    <w:rsid w:val="2E871900"/>
    <w:rsid w:val="2F085758"/>
    <w:rsid w:val="2F3F7F56"/>
    <w:rsid w:val="2F4F707A"/>
    <w:rsid w:val="2FD45D99"/>
    <w:rsid w:val="2FFC71C6"/>
    <w:rsid w:val="307B5CC3"/>
    <w:rsid w:val="308A4336"/>
    <w:rsid w:val="30B3361E"/>
    <w:rsid w:val="31200851"/>
    <w:rsid w:val="3189778C"/>
    <w:rsid w:val="31AA7543"/>
    <w:rsid w:val="31EA5456"/>
    <w:rsid w:val="31EF1FC4"/>
    <w:rsid w:val="323F00BC"/>
    <w:rsid w:val="324700B2"/>
    <w:rsid w:val="330F0153"/>
    <w:rsid w:val="33132CF8"/>
    <w:rsid w:val="3334531C"/>
    <w:rsid w:val="34264611"/>
    <w:rsid w:val="348E513C"/>
    <w:rsid w:val="34B74329"/>
    <w:rsid w:val="35BC7A15"/>
    <w:rsid w:val="36A26439"/>
    <w:rsid w:val="36A86284"/>
    <w:rsid w:val="372845B2"/>
    <w:rsid w:val="37790A88"/>
    <w:rsid w:val="3787038C"/>
    <w:rsid w:val="37DD6246"/>
    <w:rsid w:val="382D7593"/>
    <w:rsid w:val="38622AFA"/>
    <w:rsid w:val="387272BF"/>
    <w:rsid w:val="38865B2F"/>
    <w:rsid w:val="39264334"/>
    <w:rsid w:val="39275408"/>
    <w:rsid w:val="398B0B0F"/>
    <w:rsid w:val="39C64A66"/>
    <w:rsid w:val="3AB301FA"/>
    <w:rsid w:val="3B1904CB"/>
    <w:rsid w:val="3B2518DE"/>
    <w:rsid w:val="3BAB1A67"/>
    <w:rsid w:val="3BFE4DC9"/>
    <w:rsid w:val="3C064771"/>
    <w:rsid w:val="3CA67A9F"/>
    <w:rsid w:val="3CDD7A17"/>
    <w:rsid w:val="3DBC0B10"/>
    <w:rsid w:val="3DF44DD4"/>
    <w:rsid w:val="3E051E67"/>
    <w:rsid w:val="3E1079E4"/>
    <w:rsid w:val="3E182457"/>
    <w:rsid w:val="3E88008E"/>
    <w:rsid w:val="3E984FE9"/>
    <w:rsid w:val="3EC80CDE"/>
    <w:rsid w:val="3F033412"/>
    <w:rsid w:val="3F0B45B6"/>
    <w:rsid w:val="3F685D87"/>
    <w:rsid w:val="3F7A3AC2"/>
    <w:rsid w:val="40191044"/>
    <w:rsid w:val="42016010"/>
    <w:rsid w:val="428251DB"/>
    <w:rsid w:val="42D71D53"/>
    <w:rsid w:val="43974288"/>
    <w:rsid w:val="439F5506"/>
    <w:rsid w:val="44141429"/>
    <w:rsid w:val="44896D41"/>
    <w:rsid w:val="44D452BA"/>
    <w:rsid w:val="45104BE6"/>
    <w:rsid w:val="460F4F06"/>
    <w:rsid w:val="464A4562"/>
    <w:rsid w:val="4848609B"/>
    <w:rsid w:val="4864409A"/>
    <w:rsid w:val="48961A2D"/>
    <w:rsid w:val="48E60C18"/>
    <w:rsid w:val="49346CC6"/>
    <w:rsid w:val="499A7ACA"/>
    <w:rsid w:val="4B37566A"/>
    <w:rsid w:val="4C7A639D"/>
    <w:rsid w:val="4CE91A69"/>
    <w:rsid w:val="4DAC348D"/>
    <w:rsid w:val="4E0D626A"/>
    <w:rsid w:val="4EBC0748"/>
    <w:rsid w:val="4ECC3762"/>
    <w:rsid w:val="4F4940D8"/>
    <w:rsid w:val="4FE23640"/>
    <w:rsid w:val="4FED4605"/>
    <w:rsid w:val="503305EE"/>
    <w:rsid w:val="50561BEF"/>
    <w:rsid w:val="51F5342B"/>
    <w:rsid w:val="52332F51"/>
    <w:rsid w:val="528B5881"/>
    <w:rsid w:val="52A0415B"/>
    <w:rsid w:val="52E13353"/>
    <w:rsid w:val="52FE47AC"/>
    <w:rsid w:val="533A17A5"/>
    <w:rsid w:val="53465E28"/>
    <w:rsid w:val="534B1050"/>
    <w:rsid w:val="5370241B"/>
    <w:rsid w:val="53785E73"/>
    <w:rsid w:val="538B58DC"/>
    <w:rsid w:val="539260FB"/>
    <w:rsid w:val="53FD7C6B"/>
    <w:rsid w:val="54487F56"/>
    <w:rsid w:val="548A3477"/>
    <w:rsid w:val="550906E8"/>
    <w:rsid w:val="551B6EF1"/>
    <w:rsid w:val="557E5EAF"/>
    <w:rsid w:val="55961D9B"/>
    <w:rsid w:val="55F22D46"/>
    <w:rsid w:val="56D02FB6"/>
    <w:rsid w:val="5737759B"/>
    <w:rsid w:val="577D74E9"/>
    <w:rsid w:val="57FE2087"/>
    <w:rsid w:val="586B71C9"/>
    <w:rsid w:val="590154BD"/>
    <w:rsid w:val="59527B6B"/>
    <w:rsid w:val="59E33FF0"/>
    <w:rsid w:val="59EA54F5"/>
    <w:rsid w:val="5A5B4E1E"/>
    <w:rsid w:val="5B13142F"/>
    <w:rsid w:val="5B98016E"/>
    <w:rsid w:val="5C000884"/>
    <w:rsid w:val="5C224F8E"/>
    <w:rsid w:val="5C240B88"/>
    <w:rsid w:val="5C317F92"/>
    <w:rsid w:val="5E0606ED"/>
    <w:rsid w:val="5E0D1B19"/>
    <w:rsid w:val="5E214E94"/>
    <w:rsid w:val="5E275C6B"/>
    <w:rsid w:val="5E553A15"/>
    <w:rsid w:val="5E5703AB"/>
    <w:rsid w:val="5E7004E1"/>
    <w:rsid w:val="5E9E3209"/>
    <w:rsid w:val="5ECD4C7F"/>
    <w:rsid w:val="5F093C78"/>
    <w:rsid w:val="5F5A1107"/>
    <w:rsid w:val="5F831A12"/>
    <w:rsid w:val="6048573D"/>
    <w:rsid w:val="60FF5FDD"/>
    <w:rsid w:val="617E5460"/>
    <w:rsid w:val="61E02C8B"/>
    <w:rsid w:val="625323D6"/>
    <w:rsid w:val="62547A4D"/>
    <w:rsid w:val="638239E5"/>
    <w:rsid w:val="638C3D00"/>
    <w:rsid w:val="63E10B0C"/>
    <w:rsid w:val="63F3279C"/>
    <w:rsid w:val="640059A5"/>
    <w:rsid w:val="640612C6"/>
    <w:rsid w:val="647A6E52"/>
    <w:rsid w:val="64EE5D8F"/>
    <w:rsid w:val="6500065A"/>
    <w:rsid w:val="6537764C"/>
    <w:rsid w:val="65E578BD"/>
    <w:rsid w:val="666A4D62"/>
    <w:rsid w:val="668A5EDC"/>
    <w:rsid w:val="66927680"/>
    <w:rsid w:val="67180D7A"/>
    <w:rsid w:val="6756300A"/>
    <w:rsid w:val="67663F7B"/>
    <w:rsid w:val="6792245C"/>
    <w:rsid w:val="67AC56C6"/>
    <w:rsid w:val="6801069F"/>
    <w:rsid w:val="680F265C"/>
    <w:rsid w:val="687D6CC8"/>
    <w:rsid w:val="68E66C0F"/>
    <w:rsid w:val="690A7BA1"/>
    <w:rsid w:val="69113DCA"/>
    <w:rsid w:val="69130912"/>
    <w:rsid w:val="69CB77D8"/>
    <w:rsid w:val="6A323B2C"/>
    <w:rsid w:val="6AC33480"/>
    <w:rsid w:val="6B1806CB"/>
    <w:rsid w:val="6C2646D1"/>
    <w:rsid w:val="6C721C9A"/>
    <w:rsid w:val="6C942E03"/>
    <w:rsid w:val="6D731B27"/>
    <w:rsid w:val="6D76258B"/>
    <w:rsid w:val="6E7050A9"/>
    <w:rsid w:val="6E9610D2"/>
    <w:rsid w:val="6ECD36FF"/>
    <w:rsid w:val="6F1957D5"/>
    <w:rsid w:val="70254438"/>
    <w:rsid w:val="71754C6E"/>
    <w:rsid w:val="71DB6825"/>
    <w:rsid w:val="72A04A1F"/>
    <w:rsid w:val="72F24D9D"/>
    <w:rsid w:val="733275F5"/>
    <w:rsid w:val="738026E3"/>
    <w:rsid w:val="73A979E7"/>
    <w:rsid w:val="74104D2B"/>
    <w:rsid w:val="7432739D"/>
    <w:rsid w:val="744F4674"/>
    <w:rsid w:val="747927C4"/>
    <w:rsid w:val="754B170B"/>
    <w:rsid w:val="756F7B86"/>
    <w:rsid w:val="75A82AC5"/>
    <w:rsid w:val="75CA36CA"/>
    <w:rsid w:val="763955BF"/>
    <w:rsid w:val="773A01B0"/>
    <w:rsid w:val="77FC16E5"/>
    <w:rsid w:val="78BC4EF9"/>
    <w:rsid w:val="78C82F23"/>
    <w:rsid w:val="78FE0A2F"/>
    <w:rsid w:val="792F0912"/>
    <w:rsid w:val="7A7C11A9"/>
    <w:rsid w:val="7A895DC7"/>
    <w:rsid w:val="7B5E04A9"/>
    <w:rsid w:val="7BE41421"/>
    <w:rsid w:val="7C073518"/>
    <w:rsid w:val="7C4079FA"/>
    <w:rsid w:val="7C8F2CF0"/>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rPr>
      <w:sz w:val="28"/>
    </w:rPr>
  </w:style>
  <w:style w:type="paragraph" w:styleId="6">
    <w:name w:val="Body Text Indent"/>
    <w:basedOn w:val="1"/>
    <w:qFormat/>
    <w:uiPriority w:val="0"/>
    <w:pPr>
      <w:spacing w:before="120" w:after="120"/>
      <w:ind w:firstLine="480"/>
    </w:pPr>
    <w:rPr>
      <w:rFonts w:ascii="宋体" w:hAnsi="宋体"/>
      <w:sz w:val="24"/>
      <w:szCs w:val="20"/>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0">
    <w:name w:val="Body Text First Indent"/>
    <w:basedOn w:val="5"/>
    <w:qFormat/>
    <w:uiPriority w:val="0"/>
    <w:pPr>
      <w:ind w:firstLine="420" w:firstLineChars="100"/>
    </w:pPr>
  </w:style>
  <w:style w:type="paragraph" w:styleId="11">
    <w:name w:val="Body Text First Indent 2"/>
    <w:basedOn w:val="6"/>
    <w:next w:val="10"/>
    <w:qFormat/>
    <w:uiPriority w:val="0"/>
    <w:pPr>
      <w:spacing w:before="0"/>
      <w:ind w:left="420" w:leftChars="200" w:firstLine="420"/>
    </w:p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8"/>
    <w:qFormat/>
    <w:uiPriority w:val="0"/>
    <w:rPr>
      <w:rFonts w:ascii="Calibri" w:hAnsi="Calibri" w:eastAsia="仿宋_GB2312"/>
      <w:kern w:val="2"/>
      <w:sz w:val="18"/>
      <w:szCs w:val="18"/>
    </w:rPr>
  </w:style>
  <w:style w:type="character" w:customStyle="1" w:styleId="18">
    <w:name w:val="页脚 字符"/>
    <w:basedOn w:val="13"/>
    <w:link w:val="7"/>
    <w:qFormat/>
    <w:uiPriority w:val="0"/>
    <w:rPr>
      <w:rFonts w:ascii="Calibri" w:hAnsi="Calibri" w:eastAsia="仿宋_GB2312"/>
      <w:kern w:val="2"/>
      <w:sz w:val="18"/>
      <w:szCs w:val="18"/>
    </w:rPr>
  </w:style>
  <w:style w:type="character" w:customStyle="1" w:styleId="19">
    <w:name w:val="标题 2 字符"/>
    <w:basedOn w:val="13"/>
    <w:link w:val="4"/>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0</TotalTime>
  <ScaleCrop>false</ScaleCrop>
  <LinksUpToDate>false</LinksUpToDate>
  <CharactersWithSpaces>4018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盐姜鱼</cp:lastModifiedBy>
  <dcterms:modified xsi:type="dcterms:W3CDTF">2021-12-06T08:19:09Z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2BCBADEB164F420AB7CA92621D404113</vt:lpwstr>
  </property>
</Properties>
</file>