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kern w:val="0"/>
          <w:szCs w:val="32"/>
          <w:lang w:eastAsia="zh-CN"/>
        </w:rPr>
      </w:pPr>
      <w:r>
        <w:rPr>
          <w:rFonts w:hint="eastAsia" w:ascii="黑体" w:hAnsi="黑体" w:eastAsia="黑体" w:cs="Arial"/>
          <w:kern w:val="0"/>
          <w:szCs w:val="32"/>
        </w:rPr>
        <w:t>附件</w:t>
      </w:r>
      <w:r>
        <w:rPr>
          <w:rFonts w:hint="eastAsia" w:ascii="黑体" w:hAnsi="黑体" w:eastAsia="黑体" w:cs="Arial"/>
          <w:kern w:val="0"/>
          <w:szCs w:val="32"/>
          <w:lang w:val="en-US" w:eastAsia="zh-CN"/>
        </w:rPr>
        <w:t>3</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spacing w:val="-12"/>
          <w:sz w:val="44"/>
          <w:szCs w:val="44"/>
        </w:rPr>
      </w:pPr>
      <w:r>
        <w:rPr>
          <w:rFonts w:hint="eastAsia" w:ascii="华文中宋" w:hAnsi="华文中宋" w:eastAsia="华文中宋" w:cs="华文中宋"/>
          <w:spacing w:val="-12"/>
          <w:sz w:val="44"/>
          <w:szCs w:val="44"/>
        </w:rPr>
        <w:t>部分不合格项目小知识</w:t>
      </w:r>
    </w:p>
    <w:p>
      <w:pPr>
        <w:pStyle w:val="2"/>
        <w:keepNext w:val="0"/>
        <w:keepLines w:val="0"/>
        <w:pageBreakBefore w:val="0"/>
        <w:kinsoku/>
        <w:wordWrap/>
        <w:overflowPunct/>
        <w:topLinePunct w:val="0"/>
        <w:autoSpaceDE/>
        <w:autoSpaceDN/>
        <w:bidi w:val="0"/>
        <w:adjustRightInd/>
        <w:snapToGrid/>
        <w:spacing w:after="0" w:line="560" w:lineRule="exact"/>
        <w:ind w:left="640" w:firstLine="480"/>
        <w:textAlignment w:val="auto"/>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szCs w:val="32"/>
        </w:rPr>
      </w:pPr>
      <w:r>
        <w:rPr>
          <w:rFonts w:hint="eastAsia" w:ascii="黑体" w:hAnsi="黑体" w:eastAsia="黑体" w:cs="黑体"/>
          <w:b w:val="0"/>
          <w:bCs w:val="0"/>
          <w:szCs w:val="32"/>
        </w:rPr>
        <w:t>一、不合格项目小知识</w:t>
      </w:r>
    </w:p>
    <w:p>
      <w:pPr>
        <w:widowControl/>
        <w:ind w:left="0" w:leftChars="0" w:firstLine="643" w:firstLineChars="200"/>
        <w:jc w:val="left"/>
        <w:rPr>
          <w:rFonts w:hint="eastAsia" w:ascii="楷体_GB2312" w:hAnsi="宋体" w:eastAsia="楷体_GB2312" w:cs="宋体"/>
          <w:b/>
          <w:kern w:val="0"/>
          <w:sz w:val="32"/>
          <w:szCs w:val="32"/>
          <w:lang w:eastAsia="zh-CN"/>
        </w:rPr>
      </w:pPr>
      <w:r>
        <w:rPr>
          <w:rFonts w:hint="eastAsia" w:ascii="楷体_GB2312" w:hAnsi="宋体" w:eastAsia="楷体_GB2312" w:cs="宋体"/>
          <w:b/>
          <w:kern w:val="0"/>
          <w:sz w:val="32"/>
          <w:szCs w:val="32"/>
          <w:lang w:eastAsia="zh-CN"/>
        </w:rPr>
        <w:t>（一）甜蜜素</w:t>
      </w:r>
    </w:p>
    <w:p>
      <w:pPr>
        <w:widowControl/>
        <w:ind w:left="0" w:leftChars="0" w:firstLine="640" w:firstLineChars="200"/>
        <w:jc w:val="left"/>
        <w:rPr>
          <w:rFonts w:hint="eastAsia" w:ascii="仿宋_GB2312" w:hAnsi="仿宋" w:eastAsia="仿宋_GB2312" w:cs="宋体"/>
          <w:kern w:val="0"/>
          <w:sz w:val="32"/>
          <w:szCs w:val="32"/>
          <w:lang w:val="zh-CN" w:eastAsia="zh-CN" w:bidi="ar-SA"/>
        </w:rPr>
      </w:pPr>
      <w:r>
        <w:rPr>
          <w:rFonts w:hint="eastAsia" w:ascii="仿宋_GB2312" w:hAnsi="仿宋" w:eastAsia="仿宋_GB2312" w:cs="宋体"/>
          <w:kern w:val="0"/>
          <w:sz w:val="32"/>
          <w:szCs w:val="32"/>
          <w:lang w:val="zh-CN" w:eastAsia="zh-CN" w:bidi="ar-SA"/>
        </w:rPr>
        <w:t>甜蜜素化学名称为环己基</w:t>
      </w:r>
      <w:r>
        <w:rPr>
          <w:rFonts w:hint="eastAsia" w:ascii="仿宋_GB2312" w:hAnsi="仿宋" w:eastAsia="仿宋_GB2312" w:cs="宋体"/>
          <w:kern w:val="0"/>
          <w:sz w:val="32"/>
          <w:szCs w:val="32"/>
          <w:lang w:val="zh-CN" w:eastAsia="zh-CN" w:bidi="ar-SA"/>
        </w:rPr>
        <w:fldChar w:fldCharType="begin"/>
      </w:r>
      <w:r>
        <w:rPr>
          <w:rFonts w:hint="eastAsia" w:ascii="仿宋_GB2312" w:hAnsi="仿宋" w:eastAsia="仿宋_GB2312" w:cs="宋体"/>
          <w:kern w:val="0"/>
          <w:sz w:val="32"/>
          <w:szCs w:val="32"/>
          <w:lang w:val="zh-CN" w:eastAsia="zh-CN" w:bidi="ar-SA"/>
        </w:rPr>
        <w:instrText xml:space="preserve"> HYPERLINK "http://baike.sogou.com/lemma/ShowInnerLink.htm?lemmaId=5618812" </w:instrText>
      </w:r>
      <w:r>
        <w:rPr>
          <w:rFonts w:hint="eastAsia" w:ascii="仿宋_GB2312" w:hAnsi="仿宋" w:eastAsia="仿宋_GB2312" w:cs="宋体"/>
          <w:kern w:val="0"/>
          <w:sz w:val="32"/>
          <w:szCs w:val="32"/>
          <w:lang w:val="zh-CN" w:eastAsia="zh-CN" w:bidi="ar-SA"/>
        </w:rPr>
        <w:fldChar w:fldCharType="separate"/>
      </w:r>
      <w:r>
        <w:rPr>
          <w:rFonts w:hint="eastAsia" w:ascii="仿宋_GB2312" w:hAnsi="仿宋" w:eastAsia="仿宋_GB2312" w:cs="宋体"/>
          <w:kern w:val="0"/>
          <w:sz w:val="32"/>
          <w:szCs w:val="32"/>
          <w:lang w:val="zh-CN" w:eastAsia="zh-CN" w:bidi="ar-SA"/>
        </w:rPr>
        <w:t>氨基磺酸</w:t>
      </w:r>
      <w:r>
        <w:rPr>
          <w:rFonts w:hint="eastAsia" w:ascii="仿宋_GB2312" w:hAnsi="仿宋" w:eastAsia="仿宋_GB2312" w:cs="宋体"/>
          <w:kern w:val="0"/>
          <w:sz w:val="32"/>
          <w:szCs w:val="32"/>
          <w:lang w:val="zh-CN" w:eastAsia="zh-CN" w:bidi="ar-SA"/>
        </w:rPr>
        <w:fldChar w:fldCharType="end"/>
      </w:r>
      <w:r>
        <w:rPr>
          <w:rFonts w:hint="eastAsia" w:ascii="仿宋_GB2312" w:hAnsi="仿宋" w:eastAsia="仿宋_GB2312" w:cs="宋体"/>
          <w:kern w:val="0"/>
          <w:sz w:val="32"/>
          <w:szCs w:val="32"/>
          <w:lang w:val="zh-CN" w:eastAsia="zh-CN" w:bidi="ar-SA"/>
        </w:rPr>
        <w:t>钠，是一种常用</w:t>
      </w:r>
      <w:r>
        <w:rPr>
          <w:rFonts w:hint="eastAsia" w:ascii="仿宋_GB2312" w:hAnsi="仿宋" w:eastAsia="仿宋_GB2312" w:cs="宋体"/>
          <w:kern w:val="0"/>
          <w:sz w:val="32"/>
          <w:szCs w:val="32"/>
          <w:lang w:val="zh-CN" w:eastAsia="zh-CN" w:bidi="ar-SA"/>
        </w:rPr>
        <w:fldChar w:fldCharType="begin"/>
      </w:r>
      <w:r>
        <w:rPr>
          <w:rFonts w:hint="eastAsia" w:ascii="仿宋_GB2312" w:hAnsi="仿宋" w:eastAsia="仿宋_GB2312" w:cs="宋体"/>
          <w:kern w:val="0"/>
          <w:sz w:val="32"/>
          <w:szCs w:val="32"/>
          <w:lang w:val="zh-CN" w:eastAsia="zh-CN" w:bidi="ar-SA"/>
        </w:rPr>
        <w:instrText xml:space="preserve"> HYPERLINK "http://baike.sogou.com/lemma/ShowInnerLink.htm?lemmaId=130009" </w:instrText>
      </w:r>
      <w:r>
        <w:rPr>
          <w:rFonts w:hint="eastAsia" w:ascii="仿宋_GB2312" w:hAnsi="仿宋" w:eastAsia="仿宋_GB2312" w:cs="宋体"/>
          <w:kern w:val="0"/>
          <w:sz w:val="32"/>
          <w:szCs w:val="32"/>
          <w:lang w:val="zh-CN" w:eastAsia="zh-CN" w:bidi="ar-SA"/>
        </w:rPr>
        <w:fldChar w:fldCharType="separate"/>
      </w:r>
      <w:r>
        <w:rPr>
          <w:rFonts w:hint="eastAsia" w:ascii="仿宋_GB2312" w:hAnsi="仿宋" w:eastAsia="仿宋_GB2312" w:cs="宋体"/>
          <w:kern w:val="0"/>
          <w:sz w:val="32"/>
          <w:szCs w:val="32"/>
          <w:lang w:val="zh-CN" w:eastAsia="zh-CN" w:bidi="ar-SA"/>
        </w:rPr>
        <w:t>甜味剂</w:t>
      </w:r>
      <w:r>
        <w:rPr>
          <w:rFonts w:hint="eastAsia" w:ascii="仿宋_GB2312" w:hAnsi="仿宋" w:eastAsia="仿宋_GB2312" w:cs="宋体"/>
          <w:kern w:val="0"/>
          <w:sz w:val="32"/>
          <w:szCs w:val="32"/>
          <w:lang w:val="zh-CN" w:eastAsia="zh-CN" w:bidi="ar-SA"/>
        </w:rPr>
        <w:fldChar w:fldCharType="end"/>
      </w:r>
      <w:r>
        <w:rPr>
          <w:rFonts w:hint="eastAsia" w:ascii="仿宋_GB2312" w:hAnsi="仿宋" w:eastAsia="仿宋_GB2312" w:cs="宋体"/>
          <w:kern w:val="0"/>
          <w:sz w:val="32"/>
          <w:szCs w:val="32"/>
          <w:lang w:val="zh-CN" w:eastAsia="zh-CN" w:bidi="ar-SA"/>
        </w:rPr>
        <w:t>，其甜度是蔗糖的30～40倍，作为非营养型</w:t>
      </w:r>
      <w:r>
        <w:rPr>
          <w:rFonts w:hint="eastAsia" w:ascii="仿宋_GB2312" w:hAnsi="仿宋" w:eastAsia="仿宋_GB2312" w:cs="宋体"/>
          <w:kern w:val="0"/>
          <w:sz w:val="32"/>
          <w:szCs w:val="32"/>
          <w:lang w:val="zh-CN" w:eastAsia="zh-CN" w:bidi="ar-SA"/>
        </w:rPr>
        <w:fldChar w:fldCharType="begin"/>
      </w:r>
      <w:r>
        <w:rPr>
          <w:rFonts w:hint="eastAsia" w:ascii="仿宋_GB2312" w:hAnsi="仿宋" w:eastAsia="仿宋_GB2312" w:cs="宋体"/>
          <w:kern w:val="0"/>
          <w:sz w:val="32"/>
          <w:szCs w:val="32"/>
          <w:lang w:val="zh-CN" w:eastAsia="zh-CN" w:bidi="ar-SA"/>
        </w:rPr>
        <w:instrText xml:space="preserve"> HYPERLINK "http://baike.sogou.com/lemma/ShowInnerLink.htm?lemmaId=130009&amp;ss_c=ssc.citiao.link" </w:instrText>
      </w:r>
      <w:r>
        <w:rPr>
          <w:rFonts w:hint="eastAsia" w:ascii="仿宋_GB2312" w:hAnsi="仿宋" w:eastAsia="仿宋_GB2312" w:cs="宋体"/>
          <w:kern w:val="0"/>
          <w:sz w:val="32"/>
          <w:szCs w:val="32"/>
          <w:lang w:val="zh-CN" w:eastAsia="zh-CN" w:bidi="ar-SA"/>
        </w:rPr>
        <w:fldChar w:fldCharType="separate"/>
      </w:r>
      <w:r>
        <w:rPr>
          <w:rFonts w:hint="eastAsia" w:ascii="仿宋_GB2312" w:hAnsi="仿宋" w:eastAsia="仿宋_GB2312" w:cs="宋体"/>
          <w:kern w:val="0"/>
          <w:sz w:val="32"/>
          <w:szCs w:val="32"/>
          <w:lang w:val="zh-CN" w:eastAsia="zh-CN" w:bidi="ar-SA"/>
        </w:rPr>
        <w:t>甜味剂</w:t>
      </w:r>
      <w:r>
        <w:rPr>
          <w:rFonts w:hint="eastAsia" w:ascii="仿宋_GB2312" w:hAnsi="仿宋" w:eastAsia="仿宋_GB2312" w:cs="宋体"/>
          <w:kern w:val="0"/>
          <w:sz w:val="32"/>
          <w:szCs w:val="32"/>
          <w:lang w:val="zh-CN" w:eastAsia="zh-CN" w:bidi="ar-SA"/>
        </w:rPr>
        <w:fldChar w:fldCharType="end"/>
      </w:r>
      <w:r>
        <w:rPr>
          <w:rFonts w:hint="eastAsia" w:ascii="仿宋_GB2312" w:hAnsi="仿宋" w:eastAsia="仿宋_GB2312" w:cs="宋体"/>
          <w:kern w:val="0"/>
          <w:sz w:val="32"/>
          <w:szCs w:val="32"/>
          <w:lang w:val="zh-CN" w:eastAsia="zh-CN" w:bidi="ar-SA"/>
        </w:rPr>
        <w:t>，可广泛用于面包、糕点、饮料、配制酒及蜜饯等各种食品中。《食品安全国家标准 食品添加剂使用标准》（GB 2760-2014）中规定，腌渍的蔬菜中甜蜜素(以环己基氨基磺酸计)应≤1.0 g/kg。消费者如果长期过度食用甜蜜素超标的食品，会对人体造成危害，特别是对代谢排毒能力较弱的老人、孕妇、小孩危害更明显。</w:t>
      </w:r>
    </w:p>
    <w:p>
      <w:pPr>
        <w:spacing w:line="560" w:lineRule="exact"/>
        <w:ind w:left="0" w:leftChars="0" w:firstLine="643" w:firstLineChars="200"/>
        <w:rPr>
          <w:rFonts w:ascii="楷体_GB2312" w:hAnsi="楷体" w:eastAsia="楷体_GB2312" w:cs="仿宋_GB2312"/>
          <w:b/>
          <w:sz w:val="32"/>
          <w:szCs w:val="32"/>
        </w:rPr>
      </w:pP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color w:val="000000" w:themeColor="text1"/>
          <w:sz w:val="32"/>
          <w:szCs w:val="32"/>
          <w:lang w:eastAsia="zh-CN"/>
          <w14:textFill>
            <w14:solidFill>
              <w14:schemeClr w14:val="tx1"/>
            </w14:solidFill>
          </w14:textFill>
        </w:rPr>
        <w:t>二</w:t>
      </w: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sz w:val="32"/>
          <w:szCs w:val="32"/>
        </w:rPr>
        <w:t>大肠菌群</w:t>
      </w:r>
    </w:p>
    <w:p>
      <w:pPr>
        <w:widowControl/>
        <w:jc w:val="both"/>
        <w:rPr>
          <w:rFonts w:ascii="宋体" w:hAnsi="宋体" w:cs="宋体"/>
          <w:kern w:val="0"/>
          <w:sz w:val="24"/>
          <w:szCs w:val="24"/>
        </w:rPr>
      </w:pPr>
      <w:r>
        <w:rPr>
          <w:rFonts w:hint="eastAsia" w:ascii="仿宋_GB2312" w:hAnsi="仿宋" w:eastAsia="仿宋_GB2312"/>
          <w:sz w:val="32"/>
          <w:szCs w:val="32"/>
        </w:rPr>
        <w:t>大肠菌群是国内外通用的食品污染常用指示菌之一。食品中检出大肠菌群，提示被致病菌（如沙门氏菌、志贺氏菌、致病性大肠杆菌）污染的可能性较大。《食品安全国家标准 熟肉制品》（GB 2726-2016）中规定，从一批产品中采集5个样品，若5个样品的检验结果均小于或等于m值（≤</w:t>
      </w:r>
      <w:r>
        <w:rPr>
          <w:rFonts w:hint="eastAsia" w:ascii="仿宋_GB2312" w:hAnsi="仿宋" w:eastAsia="仿宋_GB2312"/>
          <w:color w:val="000000"/>
          <w:sz w:val="32"/>
          <w:szCs w:val="32"/>
        </w:rPr>
        <w:t>10</w:t>
      </w:r>
      <w:r>
        <w:rPr>
          <w:rFonts w:hint="eastAsia" w:ascii="仿宋_GB2312" w:hAnsi="仿宋" w:eastAsia="仿宋_GB2312"/>
          <w:sz w:val="32"/>
          <w:szCs w:val="32"/>
        </w:rPr>
        <w:t>CFU/g），则这种情况是允许的；若≤2个样品的结果（X）位于m值和M值之间（</w:t>
      </w:r>
      <w:r>
        <w:rPr>
          <w:rFonts w:hint="eastAsia" w:ascii="仿宋_GB2312" w:hAnsi="仿宋" w:eastAsia="仿宋_GB2312"/>
          <w:color w:val="000000"/>
          <w:sz w:val="32"/>
          <w:szCs w:val="32"/>
        </w:rPr>
        <w:t>10</w:t>
      </w:r>
      <w:r>
        <w:rPr>
          <w:rFonts w:hint="eastAsia" w:ascii="仿宋_GB2312" w:hAnsi="仿宋" w:eastAsia="仿宋_GB2312"/>
          <w:sz w:val="32"/>
          <w:szCs w:val="32"/>
        </w:rPr>
        <w:t>CFU/g＜X≤</w:t>
      </w:r>
      <w:r>
        <w:rPr>
          <w:rFonts w:hint="eastAsia" w:ascii="仿宋_GB2312" w:hAnsi="仿宋" w:eastAsia="仿宋_GB2312"/>
          <w:color w:val="000000"/>
          <w:sz w:val="32"/>
          <w:szCs w:val="32"/>
        </w:rPr>
        <w:t>10</w:t>
      </w:r>
      <w:r>
        <w:rPr>
          <w:rFonts w:hint="eastAsia" w:ascii="仿宋_GB2312" w:hAnsi="仿宋" w:eastAsia="仿宋_GB2312"/>
          <w:color w:val="000000"/>
          <w:sz w:val="32"/>
          <w:szCs w:val="32"/>
          <w:vertAlign w:val="superscript"/>
        </w:rPr>
        <w:t>2</w:t>
      </w:r>
      <w:r>
        <w:rPr>
          <w:rFonts w:hint="eastAsia" w:ascii="仿宋_GB2312" w:hAnsi="仿宋" w:eastAsia="仿宋_GB2312"/>
          <w:sz w:val="32"/>
          <w:szCs w:val="32"/>
        </w:rPr>
        <w:t>CFU/g）,则这种情况也是允许的；若有3个及以上的样品检验结果位于m值和M值之间，则这种情况是不允许的；若有任一样品的检验结果大于M值（＞</w:t>
      </w:r>
      <w:r>
        <w:rPr>
          <w:rFonts w:hint="eastAsia" w:ascii="仿宋_GB2312" w:hAnsi="仿宋" w:eastAsia="仿宋_GB2312"/>
          <w:color w:val="000000"/>
          <w:sz w:val="32"/>
          <w:szCs w:val="32"/>
        </w:rPr>
        <w:t>10</w:t>
      </w:r>
      <w:r>
        <w:rPr>
          <w:rFonts w:hint="eastAsia" w:ascii="仿宋_GB2312" w:hAnsi="仿宋" w:eastAsia="仿宋_GB2312"/>
          <w:color w:val="000000"/>
          <w:sz w:val="32"/>
          <w:szCs w:val="32"/>
          <w:vertAlign w:val="superscript"/>
        </w:rPr>
        <w:t>2</w:t>
      </w:r>
      <w:r>
        <w:rPr>
          <w:rFonts w:hint="eastAsia" w:ascii="仿宋_GB2312" w:hAnsi="仿宋" w:eastAsia="仿宋_GB2312"/>
          <w:sz w:val="32"/>
          <w:szCs w:val="32"/>
        </w:rPr>
        <w:t>CFU/g），则这种情况也是不允许的。</w:t>
      </w:r>
      <w:r>
        <w:rPr>
          <w:rFonts w:hint="eastAsia" w:ascii="仿宋_GB2312" w:hAnsi="仿宋" w:eastAsia="仿宋_GB2312" w:cs="宋体"/>
          <w:sz w:val="32"/>
          <w:szCs w:val="32"/>
        </w:rPr>
        <w:t>食品中检出大肠菌群不合格提示食品可能受到肠道致病菌污染，人食用后可能会出现呕吐、腹泻等消化道症状。</w:t>
      </w:r>
    </w:p>
    <w:p>
      <w:pPr>
        <w:spacing w:line="560" w:lineRule="exact"/>
        <w:rPr>
          <w:rFonts w:ascii="楷体_GB2312" w:hAnsi="楷体" w:eastAsia="楷体_GB2312"/>
          <w:b/>
          <w:color w:val="000000" w:themeColor="text1"/>
          <w:sz w:val="32"/>
          <w:szCs w:val="32"/>
          <w14:textFill>
            <w14:solidFill>
              <w14:schemeClr w14:val="tx1"/>
            </w14:solidFill>
          </w14:textFill>
        </w:rPr>
      </w:pP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color w:val="000000" w:themeColor="text1"/>
          <w:sz w:val="32"/>
          <w:szCs w:val="32"/>
          <w:lang w:eastAsia="zh-CN"/>
          <w14:textFill>
            <w14:solidFill>
              <w14:schemeClr w14:val="tx1"/>
            </w14:solidFill>
          </w14:textFill>
        </w:rPr>
        <w:t>三</w:t>
      </w: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b/>
          <w:color w:val="000000" w:themeColor="text1"/>
          <w:sz w:val="32"/>
          <w:szCs w:val="32"/>
          <w14:textFill>
            <w14:solidFill>
              <w14:schemeClr w14:val="tx1"/>
            </w14:solidFill>
          </w14:textFill>
        </w:rPr>
        <w:t>菌落总数</w:t>
      </w:r>
    </w:p>
    <w:p>
      <w:pPr>
        <w:spacing w:line="560" w:lineRule="exact"/>
        <w:ind w:firstLine="640" w:firstLineChars="200"/>
        <w:rPr>
          <w:rFonts w:ascii="仿宋_GB2312" w:hAnsi="楷体" w:eastAsia="仿宋_GB2312" w:cs="Arial"/>
          <w:b/>
          <w:color w:val="000000" w:themeColor="text1"/>
          <w:sz w:val="32"/>
          <w:szCs w:val="32"/>
          <w:shd w:val="clear" w:color="auto" w:fill="FFFFFF"/>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菌落总数是指示性微生物指标，并非致病菌指标，主要用来评价食品清洁度，反映食品在生产过程中是否符合卫生要求，一定程度上标志着食品卫生质量的优劣。</w:t>
      </w:r>
      <w:r>
        <w:rPr>
          <w:rFonts w:hint="eastAsia" w:ascii="仿宋_GB2312" w:hAnsi="仿宋" w:eastAsia="仿宋_GB2312"/>
          <w:sz w:val="32"/>
          <w:szCs w:val="32"/>
        </w:rPr>
        <w:t>《食品安全国家标准 熟肉制品》（GB 2726-2016）</w:t>
      </w:r>
      <w:r>
        <w:rPr>
          <w:rFonts w:hint="eastAsia" w:ascii="仿宋_GB2312" w:hAnsi="仿宋" w:eastAsia="仿宋_GB2312" w:cs="仿宋"/>
          <w:sz w:val="32"/>
          <w:szCs w:val="32"/>
        </w:rPr>
        <w:t>中规定，</w:t>
      </w:r>
      <w:r>
        <w:rPr>
          <w:rFonts w:hint="eastAsia" w:ascii="仿宋_GB2312" w:hAnsi="仿宋" w:cs="仿宋"/>
          <w:sz w:val="32"/>
          <w:szCs w:val="32"/>
          <w:lang w:eastAsia="zh-CN"/>
        </w:rPr>
        <w:t>熟肉制品（发酵肉制品类除外）</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cs="仿宋"/>
          <w:sz w:val="32"/>
          <w:szCs w:val="32"/>
        </w:rPr>
        <w:t>。</w:t>
      </w:r>
      <w:r>
        <w:rPr>
          <w:rFonts w:hint="eastAsia" w:ascii="仿宋_GB2312" w:hAnsi="仿宋" w:eastAsia="仿宋_GB2312"/>
          <w:color w:val="000000" w:themeColor="text1"/>
          <w:sz w:val="32"/>
          <w:szCs w:val="32"/>
          <w14:textFill>
            <w14:solidFill>
              <w14:schemeClr w14:val="tx1"/>
            </w14:solidFill>
          </w14:textFill>
        </w:rPr>
        <w:t>《食品安全国家标准 食用淀粉》</w:t>
      </w:r>
      <w:r>
        <w:rPr>
          <w:rFonts w:hint="eastAsia" w:ascii="仿宋_GB2312" w:hAnsi="仿宋" w:eastAsia="仿宋_GB2312"/>
          <w:color w:val="000000" w:themeColor="text1"/>
          <w:sz w:val="32"/>
          <w:szCs w:val="32"/>
          <w:lang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GB 31637-2016</w:t>
      </w:r>
      <w:r>
        <w:rPr>
          <w:rFonts w:hint="eastAsia" w:ascii="仿宋_GB2312" w:hAnsi="仿宋" w:eastAsia="仿宋_GB2312"/>
          <w:color w:val="000000" w:themeColor="text1"/>
          <w:sz w:val="32"/>
          <w:szCs w:val="32"/>
          <w:lang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中规定，从一批产品中采集5个样品，若5个样品的检验结果均小于或等于m值（≤10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sz w:val="32"/>
          <w:szCs w:val="32"/>
        </w:rPr>
        <w:t>食品的菌落总数超标，说明其产品的卫生状况达不到基本的卫生要求，将会破坏食品的营养成分，加速食品的腐败变质，使食品失去食用价值。消费者食用菌落总数</w:t>
      </w:r>
      <w:r>
        <w:rPr>
          <w:rFonts w:hint="eastAsia" w:ascii="仿宋_GB2312" w:hAnsi="仿宋" w:eastAsia="仿宋_GB2312"/>
          <w:color w:val="000000" w:themeColor="text1"/>
          <w:sz w:val="32"/>
          <w:szCs w:val="32"/>
          <w14:textFill>
            <w14:solidFill>
              <w14:schemeClr w14:val="tx1"/>
            </w14:solidFill>
          </w14:textFill>
        </w:rPr>
        <w:t>超标严重的食品，易患痢疾等肠道疾病，会引起呕吐、腹泻等症状。</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（四）铝的残留量</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铝作为食品添加剂硫酸铝钾/硫酸铝铵的重要成分，经常会添加在食物中作为膨松剂或稳定剂。《食品安全国家标准 食品添加剂使用标准》（GB 2760-2014）中规定，</w:t>
      </w:r>
      <w:r>
        <w:rPr>
          <w:rFonts w:hint="eastAsia" w:ascii="仿宋_GB2312" w:hAnsi="仿宋"/>
          <w:sz w:val="32"/>
          <w:szCs w:val="32"/>
          <w:lang w:eastAsia="zh-CN"/>
        </w:rPr>
        <w:t>生湿面制品</w:t>
      </w:r>
      <w:r>
        <w:rPr>
          <w:rFonts w:hint="eastAsia" w:ascii="仿宋_GB2312" w:hAnsi="仿宋" w:eastAsia="仿宋_GB2312"/>
          <w:sz w:val="32"/>
          <w:szCs w:val="32"/>
        </w:rPr>
        <w:t>中</w:t>
      </w:r>
      <w:r>
        <w:rPr>
          <w:rFonts w:hint="eastAsia" w:ascii="仿宋_GB2312" w:hAnsi="仿宋"/>
          <w:sz w:val="32"/>
          <w:szCs w:val="32"/>
          <w:lang w:eastAsia="zh-CN"/>
        </w:rPr>
        <w:t>不得使用含</w:t>
      </w:r>
      <w:r>
        <w:rPr>
          <w:rFonts w:hint="eastAsia" w:ascii="仿宋_GB2312" w:hAnsi="仿宋" w:eastAsia="仿宋_GB2312"/>
          <w:sz w:val="32"/>
          <w:szCs w:val="32"/>
        </w:rPr>
        <w:t>铝</w:t>
      </w:r>
      <w:r>
        <w:rPr>
          <w:rFonts w:hint="eastAsia" w:ascii="仿宋_GB2312" w:hAnsi="仿宋"/>
          <w:sz w:val="32"/>
          <w:szCs w:val="32"/>
          <w:lang w:eastAsia="zh-CN"/>
        </w:rPr>
        <w:t>添加剂</w:t>
      </w:r>
      <w:r>
        <w:rPr>
          <w:rFonts w:hint="eastAsia" w:ascii="仿宋_GB2312" w:hAnsi="仿宋" w:eastAsia="仿宋_GB2312"/>
          <w:sz w:val="32"/>
          <w:szCs w:val="32"/>
        </w:rPr>
        <w:t>。铝有一定的慢性毒性，摄入铝超标的食品，在体内可造成铝的蓄积，轻者会使食欲减退，引起贫血，重者会表现为神经毒性，使人运动失调、记忆力衰退等。</w:t>
      </w:r>
    </w:p>
    <w:p>
      <w:pPr>
        <w:spacing w:line="560" w:lineRule="exact"/>
        <w:ind w:firstLine="643" w:firstLineChars="200"/>
        <w:rPr>
          <w:rFonts w:ascii="楷体_GB2312" w:hAnsi="楷体" w:eastAsia="楷体_GB2312" w:cs="宋体"/>
          <w:b/>
          <w:color w:val="000000" w:themeColor="text1"/>
          <w:kern w:val="0"/>
          <w:sz w:val="32"/>
          <w:szCs w:val="32"/>
          <w14:textFill>
            <w14:solidFill>
              <w14:schemeClr w14:val="tx1"/>
            </w14:solidFill>
          </w14:textFill>
        </w:rPr>
      </w:pP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color w:val="000000" w:themeColor="text1"/>
          <w:sz w:val="32"/>
          <w:szCs w:val="32"/>
          <w:lang w:eastAsia="zh-CN"/>
          <w14:textFill>
            <w14:solidFill>
              <w14:schemeClr w14:val="tx1"/>
            </w14:solidFill>
          </w14:textFill>
        </w:rPr>
        <w:t>五</w:t>
      </w:r>
      <w:r>
        <w:rPr>
          <w:rFonts w:hint="eastAsia" w:ascii="楷体_GB2312" w:hAnsi="楷体" w:eastAsia="楷体_GB2312" w:cs="仿宋_GB2312"/>
          <w:b/>
          <w:color w:val="000000" w:themeColor="text1"/>
          <w:sz w:val="32"/>
          <w:szCs w:val="32"/>
          <w14:textFill>
            <w14:solidFill>
              <w14:schemeClr w14:val="tx1"/>
            </w14:solidFill>
          </w14:textFill>
        </w:rPr>
        <w:t>）酸价</w:t>
      </w:r>
    </w:p>
    <w:p>
      <w:pPr>
        <w:pStyle w:val="11"/>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酸价主要反映食品中的油脂酸败程度。《食品安全国家标准 坚果与籽类食品》GB 19300-2014中规定，</w:t>
      </w:r>
      <w:r>
        <w:rPr>
          <w:rFonts w:hint="eastAsia" w:ascii="仿宋_GB2312" w:hAnsi="仿宋" w:eastAsia="仿宋_GB2312"/>
          <w:sz w:val="32"/>
          <w:szCs w:val="32"/>
          <w:lang w:eastAsia="zh-CN"/>
        </w:rPr>
        <w:t>生干</w:t>
      </w:r>
      <w:r>
        <w:rPr>
          <w:rFonts w:hint="eastAsia" w:ascii="仿宋_GB2312" w:hAnsi="仿宋" w:eastAsia="仿宋_GB2312"/>
          <w:sz w:val="32"/>
          <w:szCs w:val="32"/>
        </w:rPr>
        <w:t>坚果与籽类食品的酸价(以脂肪计)应≤3mg/g。酸价过高会导致食品有哈喇味，所产生的醛、酮、酸会破坏脂溶性维生素，会导致肠胃不适症状，特别是对抵抗能力较弱的老人、孕妇、小孩危害更明显。</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rPr>
        <w:t>（</w:t>
      </w:r>
      <w:r>
        <w:rPr>
          <w:rFonts w:hint="eastAsia" w:ascii="楷体_GB2312" w:hAnsi="楷体" w:eastAsia="楷体_GB2312" w:cs="仿宋_GB2312"/>
          <w:b/>
          <w:sz w:val="32"/>
          <w:szCs w:val="32"/>
          <w:lang w:eastAsia="zh-CN"/>
        </w:rPr>
        <w:t>六</w:t>
      </w:r>
      <w:r>
        <w:rPr>
          <w:rFonts w:hint="eastAsia" w:ascii="楷体_GB2312" w:hAnsi="楷体" w:eastAsia="楷体_GB2312" w:cs="仿宋_GB2312"/>
          <w:b/>
          <w:sz w:val="32"/>
          <w:szCs w:val="32"/>
        </w:rPr>
        <w:t>）脱氢乙酸及其钠盐</w:t>
      </w:r>
    </w:p>
    <w:p>
      <w:pPr>
        <w:rPr>
          <w:color w:val="000000" w:themeColor="text1"/>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脱氢乙酸及其钠盐因对霉菌具有较强的抑制作用而被广泛用作防腐剂使用。《食品安全国家标准 食品添加剂使用标准》（GB 2760-2014）中规定，</w:t>
      </w:r>
      <w:r>
        <w:rPr>
          <w:rFonts w:hint="eastAsia" w:ascii="仿宋_GB2312" w:hAnsi="仿宋"/>
          <w:color w:val="000000" w:themeColor="text1"/>
          <w:sz w:val="32"/>
          <w:szCs w:val="32"/>
          <w:lang w:eastAsia="zh-CN"/>
          <w14:textFill>
            <w14:solidFill>
              <w14:schemeClr w14:val="tx1"/>
            </w14:solidFill>
          </w14:textFill>
        </w:rPr>
        <w:t>生湿面制品中</w:t>
      </w:r>
      <w:r>
        <w:rPr>
          <w:rFonts w:hint="eastAsia" w:ascii="仿宋_GB2312" w:hAnsi="仿宋" w:eastAsia="仿宋_GB2312"/>
          <w:color w:val="000000" w:themeColor="text1"/>
          <w:sz w:val="32"/>
          <w:szCs w:val="32"/>
          <w14:textFill>
            <w14:solidFill>
              <w14:schemeClr w14:val="tx1"/>
            </w14:solidFill>
          </w14:textFill>
        </w:rPr>
        <w:t>不得使用脱氢乙酸及其钠盐(以脱氢乙酸计)。</w:t>
      </w:r>
      <w:r>
        <w:rPr>
          <w:rFonts w:hint="eastAsia" w:ascii="仿宋_GB2312" w:hAnsi="仿宋" w:eastAsia="仿宋_GB2312" w:cs="宋体"/>
          <w:color w:val="000000" w:themeColor="text1"/>
          <w:kern w:val="0"/>
          <w:sz w:val="32"/>
          <w:szCs w:val="32"/>
          <w:lang w:val="zh-CN"/>
          <w14:textFill>
            <w14:solidFill>
              <w14:schemeClr w14:val="tx1"/>
            </w14:solidFill>
          </w14:textFill>
        </w:rPr>
        <w:t>由于脱氢乙酸可与血浆中的白蛋白或组织中蛋白质的胺基结合，若长期过量食用脱氢乙酸含量超标的食品可能会引起肝、肾和中枢神经系统的损伤。</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（七）氨基酸态氮</w:t>
      </w:r>
    </w:p>
    <w:p>
      <w:pPr>
        <w:pStyle w:val="8"/>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 w:eastAsia="仿宋_GB2312" w:cs="宋体"/>
          <w:b w:val="0"/>
          <w:color w:val="auto"/>
          <w:kern w:val="0"/>
          <w:sz w:val="32"/>
          <w:szCs w:val="32"/>
          <w:lang w:val="zh-CN" w:eastAsia="zh-CN" w:bidi="ar-SA"/>
        </w:rPr>
      </w:pPr>
      <w:r>
        <w:rPr>
          <w:rFonts w:hint="eastAsia" w:ascii="仿宋_GB2312" w:hAnsi="仿宋" w:eastAsia="仿宋_GB2312" w:cs="宋体"/>
          <w:b w:val="0"/>
          <w:color w:val="000000" w:themeColor="text1"/>
          <w:kern w:val="0"/>
          <w:sz w:val="32"/>
          <w:szCs w:val="32"/>
          <w:lang w:val="zh-CN" w:eastAsia="zh-CN" w:bidi="ar-SA"/>
          <w14:textFill>
            <w14:solidFill>
              <w14:schemeClr w14:val="tx1"/>
            </w14:solidFill>
          </w14:textFill>
        </w:rPr>
        <w:t>氨基酸态氮是</w:t>
      </w:r>
      <w:r>
        <w:rPr>
          <w:rFonts w:hint="eastAsia" w:ascii="仿宋_GB2312" w:hAnsi="仿宋" w:cs="宋体"/>
          <w:b w:val="0"/>
          <w:color w:val="auto"/>
          <w:kern w:val="0"/>
          <w:sz w:val="32"/>
          <w:szCs w:val="32"/>
          <w:lang w:val="zh-CN" w:eastAsia="zh-CN" w:bidi="ar-SA"/>
        </w:rPr>
        <w:t>发酵调味品</w:t>
      </w:r>
      <w:r>
        <w:rPr>
          <w:rFonts w:hint="eastAsia" w:ascii="仿宋_GB2312" w:hAnsi="仿宋" w:eastAsia="仿宋_GB2312" w:cs="宋体"/>
          <w:b w:val="0"/>
          <w:color w:val="auto"/>
          <w:kern w:val="0"/>
          <w:sz w:val="32"/>
          <w:szCs w:val="32"/>
          <w:lang w:val="zh-CN" w:eastAsia="zh-CN" w:bidi="ar-SA"/>
        </w:rPr>
        <w:t>的特征性品质指标之一</w:t>
      </w:r>
      <w:r>
        <w:rPr>
          <w:rFonts w:hint="eastAsia" w:ascii="仿宋_GB2312" w:hAnsi="仿宋" w:cs="宋体"/>
          <w:b w:val="0"/>
          <w:color w:val="auto"/>
          <w:kern w:val="0"/>
          <w:sz w:val="32"/>
          <w:szCs w:val="32"/>
          <w:lang w:val="zh-CN" w:eastAsia="zh-CN" w:bidi="ar-SA"/>
        </w:rPr>
        <w:t>。</w:t>
      </w:r>
      <w:r>
        <w:rPr>
          <w:rFonts w:hint="eastAsia" w:ascii="仿宋_GB2312" w:hAnsi="仿宋" w:eastAsia="仿宋_GB2312" w:cs="宋体"/>
          <w:b w:val="0"/>
          <w:color w:val="auto"/>
          <w:kern w:val="0"/>
          <w:sz w:val="32"/>
          <w:szCs w:val="32"/>
          <w:lang w:val="zh-CN" w:eastAsia="zh-CN" w:bidi="ar-SA"/>
        </w:rPr>
        <w:t>《</w:t>
      </w:r>
      <w:r>
        <w:rPr>
          <w:rFonts w:hint="eastAsia" w:ascii="仿宋_GB2312" w:hAnsi="仿宋" w:cs="宋体"/>
          <w:b w:val="0"/>
          <w:color w:val="auto"/>
          <w:kern w:val="0"/>
          <w:sz w:val="32"/>
          <w:szCs w:val="32"/>
          <w:lang w:val="zh-CN" w:eastAsia="zh-CN" w:bidi="ar-SA"/>
        </w:rPr>
        <w:t>调味料酒</w:t>
      </w:r>
      <w:r>
        <w:rPr>
          <w:rFonts w:hint="eastAsia" w:ascii="仿宋_GB2312" w:hAnsi="仿宋" w:eastAsia="仿宋_GB2312" w:cs="宋体"/>
          <w:b w:val="0"/>
          <w:color w:val="auto"/>
          <w:kern w:val="0"/>
          <w:sz w:val="32"/>
          <w:szCs w:val="32"/>
          <w:lang w:val="zh-CN" w:eastAsia="zh-CN" w:bidi="ar-SA"/>
        </w:rPr>
        <w:t>》（</w:t>
      </w:r>
      <w:r>
        <w:rPr>
          <w:rFonts w:hint="eastAsia" w:ascii="仿宋_GB2312" w:hAnsi="仿宋" w:cs="宋体"/>
          <w:b w:val="0"/>
          <w:color w:val="auto"/>
          <w:kern w:val="0"/>
          <w:sz w:val="32"/>
          <w:szCs w:val="32"/>
          <w:lang w:val="en-US" w:eastAsia="zh-CN" w:bidi="ar-SA"/>
        </w:rPr>
        <w:t>S</w:t>
      </w:r>
      <w:r>
        <w:rPr>
          <w:rFonts w:hint="eastAsia" w:ascii="仿宋_GB2312" w:hAnsi="仿宋" w:eastAsia="仿宋_GB2312" w:cs="宋体"/>
          <w:b w:val="0"/>
          <w:color w:val="auto"/>
          <w:kern w:val="0"/>
          <w:sz w:val="32"/>
          <w:szCs w:val="32"/>
          <w:lang w:val="zh-CN" w:eastAsia="zh-CN" w:bidi="ar-SA"/>
        </w:rPr>
        <w:t>B</w:t>
      </w:r>
      <w:r>
        <w:rPr>
          <w:rFonts w:hint="eastAsia" w:ascii="仿宋_GB2312" w:hAnsi="仿宋" w:cs="宋体"/>
          <w:b w:val="0"/>
          <w:color w:val="auto"/>
          <w:kern w:val="0"/>
          <w:sz w:val="32"/>
          <w:szCs w:val="32"/>
          <w:lang w:val="en-US" w:eastAsia="zh-CN" w:bidi="ar-SA"/>
        </w:rPr>
        <w:t>/T</w:t>
      </w:r>
      <w:r>
        <w:rPr>
          <w:rFonts w:hint="eastAsia" w:ascii="仿宋_GB2312" w:hAnsi="仿宋" w:eastAsia="仿宋_GB2312" w:cs="宋体"/>
          <w:b w:val="0"/>
          <w:color w:val="auto"/>
          <w:kern w:val="0"/>
          <w:sz w:val="32"/>
          <w:szCs w:val="32"/>
          <w:lang w:val="zh-CN" w:eastAsia="zh-CN" w:bidi="ar-SA"/>
        </w:rPr>
        <w:t xml:space="preserve"> </w:t>
      </w:r>
      <w:r>
        <w:rPr>
          <w:rFonts w:hint="eastAsia" w:ascii="仿宋_GB2312" w:hAnsi="仿宋" w:cs="宋体"/>
          <w:b w:val="0"/>
          <w:color w:val="auto"/>
          <w:kern w:val="0"/>
          <w:sz w:val="32"/>
          <w:szCs w:val="32"/>
          <w:lang w:val="en-US" w:eastAsia="zh-CN" w:bidi="ar-SA"/>
        </w:rPr>
        <w:t>10416</w:t>
      </w:r>
      <w:r>
        <w:rPr>
          <w:rFonts w:hint="eastAsia" w:ascii="仿宋_GB2312" w:hAnsi="仿宋" w:eastAsia="仿宋_GB2312" w:cs="宋体"/>
          <w:b w:val="0"/>
          <w:color w:val="auto"/>
          <w:kern w:val="0"/>
          <w:sz w:val="32"/>
          <w:szCs w:val="32"/>
          <w:lang w:val="zh-CN" w:eastAsia="zh-CN" w:bidi="ar-SA"/>
        </w:rPr>
        <w:t>-20</w:t>
      </w:r>
      <w:r>
        <w:rPr>
          <w:rFonts w:hint="eastAsia" w:ascii="仿宋_GB2312" w:hAnsi="仿宋" w:cs="宋体"/>
          <w:b w:val="0"/>
          <w:color w:val="auto"/>
          <w:kern w:val="0"/>
          <w:sz w:val="32"/>
          <w:szCs w:val="32"/>
          <w:lang w:val="en-US" w:eastAsia="zh-CN" w:bidi="ar-SA"/>
        </w:rPr>
        <w:t>07</w:t>
      </w:r>
      <w:r>
        <w:rPr>
          <w:rFonts w:hint="eastAsia" w:ascii="仿宋_GB2312" w:hAnsi="仿宋" w:eastAsia="仿宋_GB2312" w:cs="宋体"/>
          <w:b w:val="0"/>
          <w:color w:val="auto"/>
          <w:kern w:val="0"/>
          <w:sz w:val="32"/>
          <w:szCs w:val="32"/>
          <w:lang w:val="zh-CN" w:eastAsia="zh-CN" w:bidi="ar-SA"/>
        </w:rPr>
        <w:t>）中规定</w:t>
      </w:r>
      <w:r>
        <w:rPr>
          <w:rFonts w:hint="eastAsia" w:ascii="仿宋_GB2312" w:hAnsi="仿宋" w:cs="宋体"/>
          <w:b w:val="0"/>
          <w:color w:val="auto"/>
          <w:kern w:val="0"/>
          <w:sz w:val="32"/>
          <w:szCs w:val="32"/>
          <w:lang w:val="en-US" w:eastAsia="zh-CN" w:bidi="ar-SA"/>
        </w:rPr>
        <w:t>,调味料酒中氨基酸态氮(以氮计)应≥0.2g/L。不合格</w:t>
      </w:r>
      <w:r>
        <w:rPr>
          <w:rFonts w:hint="eastAsia" w:ascii="仿宋_GB2312" w:hAnsi="仿宋" w:eastAsia="仿宋_GB2312" w:cs="宋体"/>
          <w:b w:val="0"/>
          <w:color w:val="auto"/>
          <w:kern w:val="0"/>
          <w:sz w:val="32"/>
          <w:szCs w:val="32"/>
          <w:lang w:val="zh-CN" w:eastAsia="zh-CN" w:bidi="ar-SA"/>
        </w:rPr>
        <w:t>原因可能是产品</w:t>
      </w:r>
      <w:r>
        <w:rPr>
          <w:rFonts w:hint="eastAsia" w:ascii="仿宋_GB2312" w:hAnsi="仿宋" w:cs="宋体"/>
          <w:b w:val="0"/>
          <w:color w:val="auto"/>
          <w:kern w:val="0"/>
          <w:sz w:val="32"/>
          <w:szCs w:val="32"/>
          <w:lang w:val="zh-CN" w:eastAsia="zh-CN" w:bidi="ar-SA"/>
        </w:rPr>
        <w:t>未按标准组织</w:t>
      </w:r>
      <w:r>
        <w:rPr>
          <w:rFonts w:hint="eastAsia" w:ascii="仿宋_GB2312" w:hAnsi="仿宋" w:eastAsia="仿宋_GB2312" w:cs="宋体"/>
          <w:b w:val="0"/>
          <w:color w:val="auto"/>
          <w:kern w:val="0"/>
          <w:sz w:val="32"/>
          <w:szCs w:val="32"/>
          <w:lang w:val="zh-CN" w:eastAsia="zh-CN" w:bidi="ar-SA"/>
        </w:rPr>
        <w:t>生产</w:t>
      </w:r>
      <w:r>
        <w:rPr>
          <w:rFonts w:hint="eastAsia" w:ascii="仿宋_GB2312" w:hAnsi="仿宋" w:cs="宋体"/>
          <w:b w:val="0"/>
          <w:color w:val="auto"/>
          <w:kern w:val="0"/>
          <w:sz w:val="32"/>
          <w:szCs w:val="32"/>
          <w:lang w:val="zh-CN" w:eastAsia="zh-CN" w:bidi="ar-SA"/>
        </w:rPr>
        <w:t>，</w:t>
      </w:r>
      <w:r>
        <w:rPr>
          <w:rFonts w:hint="eastAsia" w:ascii="仿宋_GB2312" w:hAnsi="仿宋" w:eastAsia="仿宋_GB2312" w:cs="宋体"/>
          <w:b w:val="0"/>
          <w:color w:val="auto"/>
          <w:kern w:val="0"/>
          <w:sz w:val="32"/>
          <w:szCs w:val="32"/>
          <w:lang w:val="zh-CN" w:eastAsia="zh-CN" w:bidi="ar-SA"/>
        </w:rPr>
        <w:t>或者是产品配方缺陷的问题。</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lang w:eastAsia="zh-CN"/>
        </w:rPr>
        <w:t>（八）</w:t>
      </w:r>
      <w:r>
        <w:rPr>
          <w:rFonts w:hint="eastAsia" w:ascii="楷体_GB2312" w:hAnsi="楷体" w:eastAsia="楷体_GB2312" w:cs="仿宋_GB2312"/>
          <w:b/>
          <w:sz w:val="32"/>
          <w:szCs w:val="32"/>
        </w:rPr>
        <w:t>苯甲酸及其钠盐</w:t>
      </w:r>
    </w:p>
    <w:p>
      <w:pPr>
        <w:spacing w:line="600" w:lineRule="exact"/>
        <w:ind w:firstLine="640" w:firstLineChars="200"/>
        <w:jc w:val="left"/>
        <w:textAlignment w:val="baseline"/>
        <w:rPr>
          <w:rFonts w:hint="eastAsia" w:ascii="仿宋_GB2312" w:hAnsi="仿宋" w:eastAsia="仿宋_GB2312" w:cs="宋体"/>
          <w:b w:val="0"/>
          <w:color w:val="000000" w:themeColor="text1"/>
          <w:kern w:val="0"/>
          <w:sz w:val="32"/>
          <w:szCs w:val="32"/>
          <w:lang w:val="zh-CN" w:eastAsia="zh-CN" w:bidi="ar-SA"/>
          <w14:textFill>
            <w14:solidFill>
              <w14:schemeClr w14:val="tx1"/>
            </w14:solidFill>
          </w14:textFill>
        </w:rPr>
      </w:pPr>
      <w:r>
        <w:rPr>
          <w:rFonts w:hint="eastAsia" w:ascii="仿宋_GB2312" w:hAnsi="仿宋" w:eastAsia="仿宋_GB2312" w:cs="宋体"/>
          <w:b w:val="0"/>
          <w:color w:val="000000" w:themeColor="text1"/>
          <w:kern w:val="0"/>
          <w:sz w:val="32"/>
          <w:szCs w:val="32"/>
          <w:lang w:val="zh-CN" w:eastAsia="zh-CN" w:bidi="ar-SA"/>
          <w14:textFill>
            <w14:solidFill>
              <w14:schemeClr w14:val="tx1"/>
            </w14:solidFill>
          </w14:textFill>
        </w:rPr>
        <w:t>苯甲酸及其钠盐是食品工业中常见的一种防腐保鲜剂，对霉菌、酵母和细菌有较好的抑制作用。《食品安全国家标准</w:t>
      </w:r>
      <w:r>
        <w:rPr>
          <w:rFonts w:hint="eastAsia" w:ascii="仿宋_GB2312" w:hAnsi="仿宋" w:cs="宋体"/>
          <w:b w:val="0"/>
          <w:color w:val="000000" w:themeColor="text1"/>
          <w:kern w:val="0"/>
          <w:sz w:val="32"/>
          <w:szCs w:val="32"/>
          <w:lang w:val="en-US" w:eastAsia="zh-CN" w:bidi="ar-SA"/>
          <w14:textFill>
            <w14:solidFill>
              <w14:schemeClr w14:val="tx1"/>
            </w14:solidFill>
          </w14:textFill>
        </w:rPr>
        <w:t xml:space="preserve"> </w:t>
      </w:r>
      <w:r>
        <w:rPr>
          <w:rFonts w:hint="eastAsia" w:ascii="仿宋_GB2312" w:hAnsi="仿宋" w:eastAsia="仿宋_GB2312" w:cs="宋体"/>
          <w:b w:val="0"/>
          <w:color w:val="auto"/>
          <w:kern w:val="0"/>
          <w:sz w:val="32"/>
          <w:szCs w:val="32"/>
          <w:lang w:val="zh-CN" w:eastAsia="zh-CN" w:bidi="ar-SA"/>
        </w:rPr>
        <w:t>食</w:t>
      </w:r>
      <w:r>
        <w:rPr>
          <w:rFonts w:hint="eastAsia" w:ascii="仿宋_GB2312" w:hAnsi="仿宋" w:eastAsia="仿宋_GB2312" w:cs="宋体"/>
          <w:b w:val="0"/>
          <w:color w:val="000000" w:themeColor="text1"/>
          <w:kern w:val="0"/>
          <w:sz w:val="32"/>
          <w:szCs w:val="32"/>
          <w:lang w:val="zh-CN" w:eastAsia="zh-CN" w:bidi="ar-SA"/>
          <w14:textFill>
            <w14:solidFill>
              <w14:schemeClr w14:val="tx1"/>
            </w14:solidFill>
          </w14:textFill>
        </w:rPr>
        <w:t>品添加剂使用标准》（GB 2760-2014）中规定，</w:t>
      </w:r>
      <w:r>
        <w:rPr>
          <w:rFonts w:hint="eastAsia" w:ascii="仿宋_GB2312" w:hAnsi="仿宋" w:cs="宋体"/>
          <w:b w:val="0"/>
          <w:color w:val="000000" w:themeColor="text1"/>
          <w:kern w:val="0"/>
          <w:sz w:val="32"/>
          <w:szCs w:val="32"/>
          <w:lang w:val="zh-CN" w:eastAsia="zh-CN" w:bidi="ar-SA"/>
          <w14:textFill>
            <w14:solidFill>
              <w14:schemeClr w14:val="tx1"/>
            </w14:solidFill>
          </w14:textFill>
        </w:rPr>
        <w:t>糕点</w:t>
      </w:r>
      <w:r>
        <w:rPr>
          <w:rFonts w:hint="eastAsia" w:ascii="仿宋_GB2312" w:hAnsi="仿宋" w:eastAsia="仿宋_GB2312" w:cs="宋体"/>
          <w:b w:val="0"/>
          <w:color w:val="000000" w:themeColor="text1"/>
          <w:kern w:val="0"/>
          <w:sz w:val="32"/>
          <w:szCs w:val="32"/>
          <w:lang w:val="zh-CN" w:eastAsia="zh-CN" w:bidi="ar-SA"/>
          <w14:textFill>
            <w14:solidFill>
              <w14:schemeClr w14:val="tx1"/>
            </w14:solidFill>
          </w14:textFill>
        </w:rPr>
        <w:t>中不得使用苯甲酸及其钠盐（以苯甲酸计），腌渍的蔬菜中苯甲酸及其钠盐（以苯甲酸计）应≤1.0g/kg。苯甲酸及其钠盐的安全性较高，少量苯甲酸对人体无毒害，可随尿液排出体外，在人体内不会蓄积，但人体若长期过量食入苯甲酸超标的食品可能会对肝脏功能产生一定影响。</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lang w:eastAsia="zh-CN"/>
        </w:rPr>
        <w:t>（九）</w:t>
      </w:r>
      <w:r>
        <w:rPr>
          <w:rFonts w:hint="eastAsia" w:ascii="楷体_GB2312" w:hAnsi="楷体" w:eastAsia="楷体_GB2312" w:cs="宋体"/>
          <w:b/>
          <w:color w:val="000000"/>
          <w:kern w:val="0"/>
          <w:sz w:val="32"/>
          <w:szCs w:val="32"/>
        </w:rPr>
        <w:t>防腐剂混合使用时各自用量占其最大使用量的比例之和</w:t>
      </w:r>
    </w:p>
    <w:p>
      <w:pPr>
        <w:spacing w:line="56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sz w:val="32"/>
          <w:szCs w:val="32"/>
        </w:rPr>
        <w:t>防腐剂是以保持食品原有品质和营养价值为目的的食品添加剂，它能抑制微生物的生长繁殖，防止食品腐败变质从而延长保质期。《食品安全国家标准 食品添加剂使用标准》（GB 2760-2014）不仅规定了我国在食品中允许添加的某一添加剂的种类、使用量或残留量，而且规定了同一功能的食品添加剂（相同色泽着色剂、防腐剂、抗氧化剂）在混合使用时，各自用量占其最大使用量的比例之和不应超过1。我国允许使用的食品防腐剂为低毒、安全性较高的品种，但长期过量摄入可能会对人体健康造成一定的损害。</w:t>
      </w:r>
    </w:p>
    <w:p>
      <w:pPr>
        <w:spacing w:line="560" w:lineRule="exact"/>
        <w:rPr>
          <w:rFonts w:ascii="楷体_GB2312" w:hAnsi="楷体" w:eastAsia="楷体_GB2312" w:cs="仿宋_GB2312"/>
          <w:b/>
          <w:sz w:val="32"/>
          <w:szCs w:val="32"/>
        </w:rPr>
      </w:pP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color w:val="000000" w:themeColor="text1"/>
          <w:sz w:val="32"/>
          <w:szCs w:val="32"/>
          <w:lang w:eastAsia="zh-CN"/>
          <w14:textFill>
            <w14:solidFill>
              <w14:schemeClr w14:val="tx1"/>
            </w14:solidFill>
          </w14:textFill>
        </w:rPr>
        <w:t>十</w:t>
      </w: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sz w:val="32"/>
          <w:szCs w:val="32"/>
        </w:rPr>
        <w:t>二氧化硫残留量</w:t>
      </w:r>
    </w:p>
    <w:p>
      <w:pPr>
        <w:spacing w:line="560" w:lineRule="exact"/>
        <w:ind w:firstLine="640" w:firstLineChars="200"/>
      </w:pPr>
      <w:r>
        <w:rPr>
          <w:rFonts w:hint="eastAsia" w:ascii="仿宋_GB2312" w:hAnsi="仿宋" w:eastAsia="仿宋_GB2312" w:cs="宋体"/>
          <w:color w:val="000000"/>
          <w:kern w:val="0"/>
          <w:sz w:val="32"/>
          <w:szCs w:val="32"/>
        </w:rPr>
        <w:t>食品中的二氧化硫残留通常是指二氧化硫、硫磺以及焦亚硫酸钠、焦亚硫酸钾、亚硫酸钠</w:t>
      </w:r>
      <w:r>
        <w:rPr>
          <w:rFonts w:hint="eastAsia" w:ascii="仿宋_GB2312" w:hAnsi="仿宋" w:eastAsia="仿宋_GB2312" w:cs="宋体"/>
          <w:kern w:val="0"/>
          <w:sz w:val="32"/>
          <w:szCs w:val="32"/>
        </w:rPr>
        <w:t>、亚</w:t>
      </w:r>
      <w:r>
        <w:rPr>
          <w:rFonts w:hint="eastAsia" w:ascii="仿宋_GB2312" w:hAnsi="仿宋" w:eastAsia="仿宋_GB2312" w:cs="宋体"/>
          <w:color w:val="000000"/>
          <w:kern w:val="0"/>
          <w:sz w:val="32"/>
          <w:szCs w:val="32"/>
        </w:rPr>
        <w:t>硫酸氢钠、低亚硫酸钠等无机亚硫酸盐残留的统称。</w:t>
      </w:r>
      <w:r>
        <w:rPr>
          <w:rFonts w:hint="eastAsia" w:ascii="仿宋_GB2312" w:hAnsi="仿宋" w:eastAsia="仿宋_GB2312"/>
          <w:sz w:val="32"/>
          <w:szCs w:val="32"/>
        </w:rPr>
        <w:t>《食品安全国家标准 食品添加剂使用标准》（GB 2760-2014）中规定，干制蔬菜中二氧化硫残留量应≤0.2 g/kg。</w:t>
      </w:r>
      <w:r>
        <w:rPr>
          <w:rFonts w:hint="eastAsia" w:ascii="仿宋_GB2312" w:hAnsi="仿宋" w:eastAsia="仿宋_GB2312" w:cs="宋体"/>
          <w:kern w:val="0"/>
          <w:sz w:val="32"/>
          <w:szCs w:val="32"/>
        </w:rPr>
        <w:t>对二氧化硫有过敏反应的人（如哮喘病患者等</w:t>
      </w:r>
      <w:r>
        <w:rPr>
          <w:rFonts w:hint="eastAsia" w:ascii="仿宋_GB2312" w:hAnsi="仿宋" w:eastAsia="仿宋_GB2312" w:cs="宋体"/>
          <w:color w:val="000000"/>
          <w:kern w:val="0"/>
          <w:sz w:val="32"/>
          <w:szCs w:val="32"/>
        </w:rPr>
        <w:t>）</w:t>
      </w:r>
      <w:r>
        <w:rPr>
          <w:rFonts w:hint="eastAsia" w:ascii="仿宋_GB2312" w:hAnsi="仿宋" w:eastAsia="仿宋_GB2312" w:cs="宋体"/>
          <w:kern w:val="0"/>
          <w:sz w:val="32"/>
          <w:szCs w:val="32"/>
        </w:rPr>
        <w:t>若食用二氧化硫超标的食物</w:t>
      </w:r>
      <w:r>
        <w:rPr>
          <w:rFonts w:hint="eastAsia" w:ascii="仿宋_GB2312" w:hAnsi="仿宋" w:eastAsia="仿宋_GB2312" w:cs="宋体"/>
          <w:color w:val="000000"/>
          <w:kern w:val="0"/>
          <w:sz w:val="32"/>
          <w:szCs w:val="32"/>
        </w:rPr>
        <w:t>，可能会出现气喘、头痛或恶心等过敏症状。若长期大量摄入二氧化硫残留超标的食品，则可能对人体健康造成危害，其毒性表现为胃肠道反应，如恶心、呕吐等。此外，还会影响钙吸收，使机体钙丢失。</w:t>
      </w:r>
    </w:p>
    <w:p>
      <w:pPr>
        <w:spacing w:line="560" w:lineRule="exact"/>
        <w:ind w:firstLine="643" w:firstLineChars="200"/>
        <w:rPr>
          <w:rFonts w:ascii="楷体_GB2312" w:hAnsi="楷体" w:eastAsia="楷体_GB2312" w:cs="Arial"/>
          <w:b/>
          <w:sz w:val="32"/>
          <w:szCs w:val="32"/>
          <w:shd w:val="clear" w:color="auto" w:fill="FFFFFF"/>
        </w:rPr>
      </w:pPr>
      <w:r>
        <w:rPr>
          <w:rFonts w:hint="eastAsia" w:ascii="楷体_GB2312" w:hAnsi="楷体" w:eastAsia="楷体_GB2312" w:cs="Arial"/>
          <w:b/>
          <w:sz w:val="32"/>
          <w:szCs w:val="32"/>
          <w:shd w:val="clear" w:color="auto" w:fill="FFFFFF"/>
        </w:rPr>
        <w:t>（</w:t>
      </w:r>
      <w:r>
        <w:rPr>
          <w:rFonts w:hint="eastAsia" w:ascii="楷体_GB2312" w:hAnsi="楷体" w:eastAsia="楷体_GB2312" w:cs="Arial"/>
          <w:b/>
          <w:sz w:val="32"/>
          <w:szCs w:val="32"/>
          <w:shd w:val="clear" w:color="auto" w:fill="FFFFFF"/>
          <w:lang w:eastAsia="zh-CN"/>
        </w:rPr>
        <w:t>十一</w:t>
      </w:r>
      <w:r>
        <w:rPr>
          <w:rFonts w:hint="eastAsia" w:ascii="楷体_GB2312" w:hAnsi="楷体" w:eastAsia="楷体_GB2312" w:cs="Arial"/>
          <w:b/>
          <w:sz w:val="32"/>
          <w:szCs w:val="32"/>
          <w:shd w:val="clear" w:color="auto" w:fill="FFFFFF"/>
        </w:rPr>
        <w:t>）氟苯尼考</w:t>
      </w:r>
    </w:p>
    <w:p>
      <w:pPr>
        <w:spacing w:line="560" w:lineRule="exact"/>
        <w:ind w:firstLine="645"/>
        <w:rPr>
          <w:rFonts w:hint="eastAsia" w:ascii="仿宋_GB2312" w:hAnsi="仿宋" w:eastAsia="仿宋_GB2312" w:cs="Arial"/>
          <w:sz w:val="32"/>
          <w:szCs w:val="32"/>
          <w:shd w:val="clear" w:color="auto" w:fill="FFFFFF"/>
        </w:rPr>
      </w:pPr>
      <w:r>
        <w:rPr>
          <w:rFonts w:hint="eastAsia" w:ascii="仿宋_GB2312" w:hAnsi="仿宋" w:eastAsia="仿宋_GB2312" w:cs="Arial"/>
          <w:sz w:val="32"/>
          <w:szCs w:val="32"/>
          <w:shd w:val="clear" w:color="auto" w:fill="FFFFFF"/>
        </w:rPr>
        <w:t>氟苯尼考又称氟甲砜霉素，是农业部批准使用的动物专用抗菌药，主要用于敏感细菌所致的猪、鸡、鱼的细菌性疾病。《食品安全国家标准 食品中兽药最大残留限量》（GB 31650-2019）中</w:t>
      </w:r>
      <w:r>
        <w:rPr>
          <w:rFonts w:hint="eastAsia" w:ascii="仿宋_GB2312" w:hAnsi="仿宋" w:eastAsia="仿宋_GB2312" w:cs="Arial"/>
          <w:color w:val="auto"/>
          <w:sz w:val="32"/>
          <w:szCs w:val="32"/>
          <w:shd w:val="clear" w:color="auto" w:fill="FFFFFF"/>
        </w:rPr>
        <w:t>规定，氟苯尼考可用于猪、牛、羊、禽、鱼等，但在产蛋期家禽中禁用（鸡蛋</w:t>
      </w:r>
      <w:r>
        <w:rPr>
          <w:rFonts w:hint="eastAsia" w:ascii="仿宋_GB2312" w:hAnsi="仿宋" w:cs="Arial"/>
          <w:color w:val="auto"/>
          <w:sz w:val="32"/>
          <w:szCs w:val="32"/>
          <w:shd w:val="clear" w:color="auto" w:fill="FFFFFF"/>
          <w:lang w:eastAsia="zh-CN"/>
        </w:rPr>
        <w:t>中</w:t>
      </w:r>
      <w:r>
        <w:rPr>
          <w:rFonts w:hint="eastAsia" w:ascii="仿宋_GB2312" w:hAnsi="仿宋" w:eastAsia="仿宋_GB2312" w:cs="Arial"/>
          <w:color w:val="auto"/>
          <w:sz w:val="32"/>
          <w:szCs w:val="32"/>
          <w:shd w:val="clear" w:color="auto" w:fill="FFFFFF"/>
        </w:rPr>
        <w:t>不</w:t>
      </w:r>
      <w:r>
        <w:rPr>
          <w:rFonts w:hint="eastAsia" w:ascii="仿宋_GB2312" w:hAnsi="仿宋" w:eastAsia="仿宋_GB2312" w:cs="Arial"/>
          <w:sz w:val="32"/>
          <w:szCs w:val="32"/>
          <w:shd w:val="clear" w:color="auto" w:fill="FFFFFF"/>
        </w:rPr>
        <w:t>得检出）。正常情况下消费者不必对禽蛋中检出氟苯尼考过于担心，但长期食用氟苯尼考残留超标的蛋品，对人体健康有一定风险。</w:t>
      </w:r>
    </w:p>
    <w:p>
      <w:pPr>
        <w:rPr>
          <w:rFonts w:ascii="楷体_GB2312" w:hAnsi="宋体" w:eastAsia="楷体_GB2312" w:cs="宋体"/>
          <w:b/>
          <w:kern w:val="0"/>
          <w:sz w:val="32"/>
          <w:szCs w:val="32"/>
        </w:rPr>
      </w:pPr>
      <w:r>
        <w:rPr>
          <w:rFonts w:ascii="楷体_GB2312" w:hAnsi="宋体" w:eastAsia="楷体_GB2312" w:cs="宋体"/>
          <w:b/>
          <w:kern w:val="0"/>
          <w:sz w:val="32"/>
          <w:szCs w:val="32"/>
        </w:rPr>
        <w:t>（十</w:t>
      </w:r>
      <w:r>
        <w:rPr>
          <w:rFonts w:hint="eastAsia" w:ascii="楷体_GB2312" w:hAnsi="宋体" w:eastAsia="楷体_GB2312" w:cs="宋体"/>
          <w:b/>
          <w:kern w:val="0"/>
          <w:sz w:val="32"/>
          <w:szCs w:val="32"/>
          <w:lang w:eastAsia="zh-CN"/>
        </w:rPr>
        <w:t>二</w:t>
      </w:r>
      <w:r>
        <w:rPr>
          <w:rFonts w:ascii="楷体_GB2312" w:hAnsi="宋体" w:eastAsia="楷体_GB2312" w:cs="宋体"/>
          <w:b/>
          <w:kern w:val="0"/>
          <w:sz w:val="32"/>
          <w:szCs w:val="32"/>
        </w:rPr>
        <w:t>）磺胺类（总量）</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磺胺类药物是一种人工合成的抗菌药，具有抗菌谱较广、性质稳定、使用简便等特性，对大多数革兰氏阳性菌和阴性菌都有较强抑制作用，广泛用于防治鸡球虫病。《食品安全国家标准 食品中兽药最大残留限量》（GB 31650-2019）规定，磺胺类在所有食品动物的肌肉和脂肪中的最高残留限量为100μg/kg</w:t>
      </w:r>
      <w:r>
        <w:rPr>
          <w:rFonts w:hint="eastAsia" w:ascii="仿宋_GB2312" w:hAnsi="仿宋"/>
          <w:sz w:val="32"/>
          <w:szCs w:val="32"/>
          <w:lang w:eastAsia="zh-CN"/>
        </w:rPr>
        <w:t>，</w:t>
      </w:r>
      <w:r>
        <w:rPr>
          <w:rFonts w:hint="eastAsia" w:ascii="仿宋_GB2312" w:hAnsi="仿宋" w:eastAsia="仿宋_GB2312" w:cs="Arial"/>
          <w:color w:val="auto"/>
          <w:sz w:val="32"/>
          <w:szCs w:val="32"/>
          <w:shd w:val="clear" w:color="auto" w:fill="FFFFFF"/>
        </w:rPr>
        <w:t>但在产蛋期家禽中禁用（鸡蛋</w:t>
      </w:r>
      <w:r>
        <w:rPr>
          <w:rFonts w:hint="eastAsia" w:ascii="仿宋_GB2312" w:hAnsi="仿宋" w:cs="Arial"/>
          <w:color w:val="auto"/>
          <w:sz w:val="32"/>
          <w:szCs w:val="32"/>
          <w:shd w:val="clear" w:color="auto" w:fill="FFFFFF"/>
          <w:lang w:eastAsia="zh-CN"/>
        </w:rPr>
        <w:t>中</w:t>
      </w:r>
      <w:r>
        <w:rPr>
          <w:rFonts w:hint="eastAsia" w:ascii="仿宋_GB2312" w:hAnsi="仿宋" w:eastAsia="仿宋_GB2312" w:cs="Arial"/>
          <w:color w:val="auto"/>
          <w:sz w:val="32"/>
          <w:szCs w:val="32"/>
          <w:shd w:val="clear" w:color="auto" w:fill="FFFFFF"/>
        </w:rPr>
        <w:t>不</w:t>
      </w:r>
      <w:r>
        <w:rPr>
          <w:rFonts w:hint="eastAsia" w:ascii="仿宋_GB2312" w:hAnsi="仿宋" w:eastAsia="仿宋_GB2312" w:cs="Arial"/>
          <w:sz w:val="32"/>
          <w:szCs w:val="32"/>
          <w:shd w:val="clear" w:color="auto" w:fill="FFFFFF"/>
        </w:rPr>
        <w:t>得检出）</w:t>
      </w:r>
      <w:r>
        <w:rPr>
          <w:rFonts w:hint="eastAsia" w:ascii="仿宋_GB2312" w:hAnsi="仿宋" w:eastAsia="仿宋_GB2312"/>
          <w:sz w:val="32"/>
          <w:szCs w:val="32"/>
        </w:rPr>
        <w:t>。长期摄入磺胺类超标的动物性食品，可能导致泌尿系统和肝脏损伤等健康危害。</w:t>
      </w:r>
    </w:p>
    <w:p>
      <w:pPr>
        <w:spacing w:line="560" w:lineRule="exact"/>
        <w:ind w:left="0" w:leftChars="0" w:firstLine="643" w:firstLineChars="200"/>
        <w:rPr>
          <w:rFonts w:ascii="楷体_GB2312" w:hAnsi="楷体" w:eastAsia="楷体_GB2312" w:cs="仿宋_GB2312"/>
          <w:b/>
          <w:sz w:val="32"/>
          <w:szCs w:val="32"/>
        </w:rPr>
      </w:pP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color w:val="000000" w:themeColor="text1"/>
          <w:sz w:val="32"/>
          <w:szCs w:val="32"/>
          <w:lang w:eastAsia="zh-CN"/>
          <w14:textFill>
            <w14:solidFill>
              <w14:schemeClr w14:val="tx1"/>
            </w14:solidFill>
          </w14:textFill>
        </w:rPr>
        <w:t>十</w:t>
      </w:r>
      <w:r>
        <w:rPr>
          <w:rFonts w:hint="eastAsia" w:ascii="楷体_GB2312" w:hAnsi="楷体" w:eastAsia="楷体_GB2312" w:cs="仿宋_GB2312"/>
          <w:b/>
          <w:color w:val="000000" w:themeColor="text1"/>
          <w:sz w:val="32"/>
          <w:szCs w:val="32"/>
          <w14:textFill>
            <w14:solidFill>
              <w14:schemeClr w14:val="tx1"/>
            </w14:solidFill>
          </w14:textFill>
        </w:rPr>
        <w:t>三）</w:t>
      </w:r>
      <w:r>
        <w:rPr>
          <w:rFonts w:hint="eastAsia" w:ascii="楷体_GB2312" w:hAnsi="楷体" w:eastAsia="楷体_GB2312" w:cs="仿宋_GB2312"/>
          <w:b/>
          <w:sz w:val="32"/>
          <w:szCs w:val="32"/>
        </w:rPr>
        <w:t>霉菌</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霉菌是用来判定食品在加工过程中被污染的程度及卫生质量的指标。《食品安全国家标准 冲调谷物制品》（GB 19640-2016）中规定，</w:t>
      </w:r>
      <w:r>
        <w:rPr>
          <w:rFonts w:hint="eastAsia" w:ascii="仿宋_GB2312" w:hAnsi="仿宋" w:eastAsia="仿宋_GB2312"/>
          <w:color w:val="000000" w:themeColor="text1"/>
          <w:sz w:val="32"/>
          <w:szCs w:val="32"/>
          <w14:textFill>
            <w14:solidFill>
              <w14:schemeClr w14:val="tx1"/>
            </w14:solidFill>
          </w14:textFill>
        </w:rPr>
        <w:t>一批产品中采集5个样品，若5个样品的检验结果均小于或等于m值（≤50CFU/g），则这种情况是允许的；若≤2个样品的结果（X）位于m值和M值之间（50CFU/g＜X≤10</w:t>
      </w:r>
      <w:r>
        <w:rPr>
          <w:rFonts w:hint="eastAsia" w:ascii="仿宋_GB2312" w:hAnsi="仿宋" w:eastAsia="仿宋_GB2312"/>
          <w:color w:val="000000" w:themeColor="text1"/>
          <w:sz w:val="32"/>
          <w:szCs w:val="32"/>
          <w:vertAlign w:val="superscript"/>
          <w14:textFill>
            <w14:solidFill>
              <w14:schemeClr w14:val="tx1"/>
            </w14:solidFill>
          </w14:textFill>
        </w:rPr>
        <w:t>2</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eastAsia="仿宋_GB2312"/>
          <w:color w:val="000000" w:themeColor="text1"/>
          <w:sz w:val="32"/>
          <w:szCs w:val="32"/>
          <w:vertAlign w:val="superscript"/>
          <w14:textFill>
            <w14:solidFill>
              <w14:schemeClr w14:val="tx1"/>
            </w14:solidFill>
          </w14:textFill>
        </w:rPr>
        <w:t>2</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sz w:val="32"/>
          <w:szCs w:val="32"/>
        </w:rPr>
        <w:t>霉菌污染可使食品腐败变质，破坏食品的色、香、味，使食品失去食用价值，并可能产生真菌毒素，造成人体内分泌紊乱、免疫抑制等问题。</w:t>
      </w:r>
    </w:p>
    <w:p>
      <w:pPr>
        <w:autoSpaceDN w:val="0"/>
        <w:ind w:firstLine="643" w:firstLineChars="200"/>
        <w:rPr>
          <w:rFonts w:ascii="楷体_GB2312" w:hAnsi="楷体" w:eastAsia="楷体_GB2312" w:cs="仿宋_GB2312"/>
          <w:b/>
          <w:sz w:val="32"/>
          <w:szCs w:val="32"/>
        </w:rPr>
      </w:pPr>
      <w:r>
        <w:rPr>
          <w:rFonts w:hint="eastAsia" w:ascii="楷体_GB2312" w:hAnsi="楷体" w:eastAsia="楷体_GB2312" w:cs="仿宋_GB2312"/>
          <w:b/>
          <w:color w:val="000000"/>
          <w:sz w:val="32"/>
          <w:szCs w:val="32"/>
        </w:rPr>
        <w:t>（</w:t>
      </w:r>
      <w:r>
        <w:rPr>
          <w:rFonts w:hint="eastAsia" w:ascii="楷体_GB2312" w:hAnsi="楷体" w:eastAsia="楷体_GB2312" w:cs="仿宋_GB2312"/>
          <w:b/>
          <w:color w:val="000000"/>
          <w:sz w:val="32"/>
          <w:szCs w:val="32"/>
          <w:lang w:eastAsia="zh-CN"/>
        </w:rPr>
        <w:t>十四</w:t>
      </w:r>
      <w:r>
        <w:rPr>
          <w:rFonts w:hint="eastAsia" w:ascii="楷体_GB2312" w:hAnsi="楷体" w:eastAsia="楷体_GB2312" w:cs="仿宋_GB2312"/>
          <w:b/>
          <w:color w:val="000000"/>
          <w:sz w:val="32"/>
          <w:szCs w:val="32"/>
        </w:rPr>
        <w:t>）</w:t>
      </w:r>
      <w:r>
        <w:rPr>
          <w:rFonts w:hint="eastAsia" w:ascii="楷体_GB2312" w:hAnsi="楷体" w:eastAsia="楷体_GB2312" w:cs="仿宋_GB2312"/>
          <w:b/>
          <w:sz w:val="32"/>
          <w:szCs w:val="32"/>
        </w:rPr>
        <w:t>铅</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铅是一种能够在生物体内蓄积且排除缓慢的重金属污染物。《食品安全国家标准 食品中污染物限量》（GB 2762-2017）中规定，</w:t>
      </w:r>
      <w:r>
        <w:rPr>
          <w:rFonts w:hint="eastAsia" w:ascii="仿宋_GB2312" w:hAnsi="仿宋"/>
          <w:sz w:val="32"/>
          <w:szCs w:val="32"/>
          <w:lang w:eastAsia="zh-CN"/>
        </w:rPr>
        <w:t>糖果</w:t>
      </w:r>
      <w:r>
        <w:rPr>
          <w:rFonts w:hint="eastAsia" w:ascii="仿宋_GB2312" w:hAnsi="仿宋" w:eastAsia="仿宋_GB2312"/>
          <w:sz w:val="32"/>
          <w:szCs w:val="32"/>
        </w:rPr>
        <w:t>制品中</w:t>
      </w:r>
      <w:r>
        <w:rPr>
          <w:rFonts w:hint="eastAsia" w:ascii="仿宋_GB2312" w:hAnsi="仿宋" w:eastAsia="仿宋_GB2312"/>
          <w:color w:val="000000" w:themeColor="text1"/>
          <w:sz w:val="32"/>
          <w:szCs w:val="32"/>
          <w14:textFill>
            <w14:solidFill>
              <w14:schemeClr w14:val="tx1"/>
            </w14:solidFill>
          </w14:textFill>
        </w:rPr>
        <w:t>铅(</w:t>
      </w:r>
      <w:r>
        <w:rPr>
          <w:rFonts w:hint="eastAsia" w:ascii="仿宋_GB2312" w:hAnsi="仿宋" w:eastAsia="仿宋_GB2312"/>
          <w:sz w:val="32"/>
          <w:szCs w:val="32"/>
        </w:rPr>
        <w:t>以Pb计)应≤</w:t>
      </w:r>
      <w:r>
        <w:rPr>
          <w:rFonts w:hint="eastAsia" w:ascii="仿宋_GB2312" w:hAnsi="仿宋"/>
          <w:sz w:val="32"/>
          <w:szCs w:val="32"/>
          <w:lang w:val="en-US" w:eastAsia="zh-CN"/>
        </w:rPr>
        <w:t>0.5</w:t>
      </w:r>
      <w:r>
        <w:rPr>
          <w:rFonts w:hint="eastAsia" w:ascii="仿宋_GB2312" w:hAnsi="仿宋" w:eastAsia="仿宋_GB2312"/>
          <w:sz w:val="32"/>
          <w:szCs w:val="32"/>
        </w:rPr>
        <w:t>mg/kg</w:t>
      </w:r>
      <w:r>
        <w:rPr>
          <w:rFonts w:hint="eastAsia" w:ascii="仿宋_GB2312" w:hAnsi="仿宋" w:eastAsia="仿宋_GB2312"/>
          <w:sz w:val="32"/>
          <w:szCs w:val="32"/>
          <w:lang w:eastAsia="zh-CN"/>
        </w:rPr>
        <w:t>，</w:t>
      </w:r>
      <w:r>
        <w:rPr>
          <w:rFonts w:hint="eastAsia" w:ascii="仿宋_GB2312" w:hAnsi="仿宋" w:eastAsia="仿宋_GB2312"/>
          <w:sz w:val="32"/>
          <w:szCs w:val="32"/>
        </w:rPr>
        <w:t>。铅蓄积在体内可能会影响大脑和神经系统，尤其会对儿童造成智力发育障碍和表现行为异常。</w:t>
      </w:r>
      <w:bookmarkStart w:id="0" w:name="_GoBack"/>
      <w:bookmarkEnd w:id="0"/>
    </w:p>
    <w:p>
      <w:pPr>
        <w:keepNext w:val="0"/>
        <w:keepLines w:val="0"/>
        <w:pageBreakBefore w:val="0"/>
        <w:kinsoku/>
        <w:wordWrap/>
        <w:overflowPunct/>
        <w:topLinePunct w:val="0"/>
        <w:autoSpaceDE/>
        <w:autoSpaceDN w:val="0"/>
        <w:bidi w:val="0"/>
        <w:adjustRightInd/>
        <w:snapToGrid/>
        <w:spacing w:line="560" w:lineRule="exact"/>
        <w:ind w:firstLine="643" w:firstLineChars="200"/>
        <w:textAlignment w:val="auto"/>
        <w:rPr>
          <w:rFonts w:hint="eastAsia" w:ascii="楷体_GB2312" w:hAnsi="楷体" w:eastAsia="楷体_GB2312" w:cs="仿宋_GB2312"/>
          <w:b/>
          <w:color w:val="auto"/>
          <w:sz w:val="32"/>
          <w:szCs w:val="32"/>
          <w:lang w:eastAsia="zh-CN"/>
        </w:rPr>
      </w:pPr>
      <w:r>
        <w:rPr>
          <w:rFonts w:hint="eastAsia" w:ascii="楷体_GB2312" w:hAnsi="楷体" w:eastAsia="楷体_GB2312" w:cs="仿宋_GB2312"/>
          <w:b/>
          <w:color w:val="auto"/>
          <w:sz w:val="32"/>
          <w:szCs w:val="32"/>
        </w:rPr>
        <w:t>（</w:t>
      </w:r>
      <w:r>
        <w:rPr>
          <w:rFonts w:hint="eastAsia" w:ascii="楷体_GB2312" w:hAnsi="楷体" w:eastAsia="楷体_GB2312" w:cs="仿宋_GB2312"/>
          <w:b/>
          <w:color w:val="auto"/>
          <w:sz w:val="32"/>
          <w:szCs w:val="32"/>
          <w:lang w:eastAsia="zh-CN"/>
        </w:rPr>
        <w:t>十五</w:t>
      </w:r>
      <w:r>
        <w:rPr>
          <w:rFonts w:hint="eastAsia" w:ascii="楷体_GB2312" w:hAnsi="楷体" w:eastAsia="楷体_GB2312" w:cs="仿宋_GB2312"/>
          <w:b/>
          <w:color w:val="auto"/>
          <w:sz w:val="32"/>
          <w:szCs w:val="32"/>
        </w:rPr>
        <w:t>）</w:t>
      </w:r>
      <w:r>
        <w:rPr>
          <w:rFonts w:hint="eastAsia" w:ascii="楷体_GB2312" w:hAnsi="楷体" w:eastAsia="楷体_GB2312" w:cs="仿宋_GB2312"/>
          <w:b/>
          <w:color w:val="auto"/>
          <w:sz w:val="32"/>
          <w:szCs w:val="32"/>
          <w:lang w:eastAsia="zh-CN"/>
        </w:rPr>
        <w:t>日落黄</w:t>
      </w:r>
    </w:p>
    <w:p>
      <w:pPr>
        <w:spacing w:line="560" w:lineRule="exact"/>
        <w:ind w:right="170" w:rightChars="53" w:firstLine="640" w:firstLineChars="200"/>
        <w:rPr>
          <w:rFonts w:hint="eastAsia" w:ascii="仿宋_GB2312" w:hAnsi="仿宋" w:eastAsia="仿宋_GB2312" w:cs="仿宋"/>
          <w:color w:val="0000FF"/>
          <w:sz w:val="32"/>
          <w:szCs w:val="32"/>
        </w:rPr>
      </w:pPr>
      <w:r>
        <w:rPr>
          <w:rFonts w:hint="eastAsia" w:ascii="仿宋_GB2312" w:hAnsi="仿宋" w:eastAsia="仿宋_GB2312" w:cs="Times New Roman"/>
          <w:color w:val="auto"/>
          <w:kern w:val="2"/>
          <w:sz w:val="32"/>
          <w:szCs w:val="32"/>
          <w:lang w:val="en-US" w:eastAsia="zh-CN" w:bidi="ar-SA"/>
        </w:rPr>
        <w:t>日落黄又名食用黄色3号，是一种水溶性偶氮类合成着色剂。</w:t>
      </w:r>
      <w:r>
        <w:rPr>
          <w:rFonts w:hint="eastAsia" w:ascii="仿宋_GB2312" w:hAnsi="仿宋" w:eastAsia="仿宋_GB2312" w:cs="仿宋"/>
          <w:color w:val="auto"/>
          <w:sz w:val="32"/>
          <w:szCs w:val="32"/>
        </w:rPr>
        <w:t>《食品安全国家标准 食品添加剂使用标准》GB 2760-2014规定，自制茶饮所属的茶（类）饮料不得使用日落黄。</w:t>
      </w:r>
      <w:r>
        <w:rPr>
          <w:rFonts w:hint="eastAsia" w:ascii="仿宋_GB2312" w:hAnsi="仿宋" w:eastAsia="仿宋_GB2312" w:cs="Times New Roman"/>
          <w:color w:val="auto"/>
          <w:kern w:val="2"/>
          <w:sz w:val="32"/>
          <w:szCs w:val="32"/>
          <w:lang w:val="en-US" w:eastAsia="zh-CN" w:bidi="ar-SA"/>
        </w:rPr>
        <w:t>如果长期食用日落黄超标的食品，会对人体健康造成伤害。</w:t>
      </w:r>
      <w:r>
        <w:rPr>
          <w:rFonts w:hint="eastAsia" w:ascii="仿宋_GB2312" w:hAnsi="仿宋" w:cs="Times New Roman"/>
          <w:color w:val="auto"/>
          <w:kern w:val="2"/>
          <w:sz w:val="32"/>
          <w:szCs w:val="32"/>
          <w:lang w:val="en-US" w:eastAsia="zh-CN" w:bidi="ar-SA"/>
        </w:rPr>
        <w:t>个别</w:t>
      </w:r>
      <w:r>
        <w:rPr>
          <w:rFonts w:hint="eastAsia" w:ascii="仿宋_GB2312" w:hAnsi="仿宋" w:eastAsia="仿宋_GB2312" w:cs="仿宋"/>
          <w:color w:val="auto"/>
          <w:sz w:val="32"/>
          <w:szCs w:val="32"/>
        </w:rPr>
        <w:t>商家对</w:t>
      </w:r>
      <w:r>
        <w:rPr>
          <w:rFonts w:hint="eastAsia" w:ascii="仿宋_GB2312" w:hAnsi="仿宋" w:cs="仿宋"/>
          <w:color w:val="auto"/>
          <w:sz w:val="32"/>
          <w:szCs w:val="32"/>
          <w:lang w:eastAsia="zh-CN"/>
        </w:rPr>
        <w:t>食品安全国家</w:t>
      </w:r>
      <w:r>
        <w:rPr>
          <w:rFonts w:hint="eastAsia" w:ascii="仿宋_GB2312" w:hAnsi="仿宋" w:eastAsia="仿宋_GB2312" w:cs="仿宋"/>
          <w:color w:val="auto"/>
          <w:sz w:val="32"/>
          <w:szCs w:val="32"/>
        </w:rPr>
        <w:t>标准没有深入了解，为追求商品观赏性，在商品制作调色的过程中，</w:t>
      </w:r>
      <w:r>
        <w:rPr>
          <w:rFonts w:hint="eastAsia" w:ascii="仿宋_GB2312" w:hAnsi="仿宋" w:eastAsia="仿宋_GB2312" w:cs="仿宋"/>
          <w:color w:val="auto"/>
          <w:sz w:val="32"/>
          <w:szCs w:val="32"/>
          <w:lang w:eastAsia="zh-CN"/>
        </w:rPr>
        <w:t>违规</w:t>
      </w:r>
      <w:r>
        <w:rPr>
          <w:rFonts w:hint="eastAsia" w:ascii="仿宋_GB2312" w:hAnsi="仿宋" w:eastAsia="仿宋_GB2312" w:cs="仿宋"/>
          <w:color w:val="auto"/>
          <w:sz w:val="32"/>
          <w:szCs w:val="32"/>
        </w:rPr>
        <w:t>加入日落黄</w:t>
      </w:r>
      <w:r>
        <w:rPr>
          <w:rFonts w:hint="eastAsia" w:ascii="仿宋_GB2312" w:hAnsi="仿宋" w:eastAsia="仿宋_GB2312" w:cs="仿宋"/>
          <w:color w:val="auto"/>
          <w:sz w:val="32"/>
          <w:szCs w:val="32"/>
          <w:lang w:eastAsia="zh-CN"/>
        </w:rPr>
        <w:t>或使用超范围添加的初级产品</w:t>
      </w:r>
      <w:r>
        <w:rPr>
          <w:rFonts w:hint="eastAsia" w:ascii="仿宋_GB2312" w:hAnsi="仿宋" w:eastAsia="仿宋_GB2312" w:cs="仿宋"/>
          <w:color w:val="auto"/>
          <w:sz w:val="32"/>
          <w:szCs w:val="32"/>
          <w:lang w:val="en-US" w:eastAsia="zh-CN"/>
        </w:rPr>
        <w:t>/原辅料</w:t>
      </w:r>
      <w:r>
        <w:rPr>
          <w:rFonts w:hint="eastAsia" w:ascii="仿宋_GB2312" w:hAnsi="仿宋" w:eastAsia="仿宋_GB2312" w:cs="仿宋"/>
          <w:color w:val="auto"/>
          <w:sz w:val="32"/>
          <w:szCs w:val="32"/>
        </w:rPr>
        <w:t>，是茶饮中检出日落黄的可能原因。</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二、建议</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sz w:val="32"/>
          <w:szCs w:val="32"/>
        </w:rPr>
      </w:pPr>
      <w:r>
        <w:rPr>
          <w:rFonts w:hint="eastAsia" w:ascii="楷体_GB2312" w:hAnsi="楷体" w:eastAsia="楷体_GB2312"/>
          <w:b/>
          <w:sz w:val="32"/>
          <w:szCs w:val="32"/>
        </w:rPr>
        <w:t>（一）加强原辅料的把控</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11"/>
        <w:keepNext w:val="0"/>
        <w:keepLines w:val="0"/>
        <w:pageBreakBefore w:val="0"/>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961" w:leftChars="200" w:hanging="321" w:hangingChars="100"/>
        <w:textAlignment w:val="auto"/>
        <w:rPr>
          <w:rFonts w:hint="eastAsia" w:ascii="楷体_GB2312" w:hAnsi="楷体" w:eastAsia="楷体_GB2312"/>
          <w:b/>
          <w:color w:val="auto"/>
          <w:sz w:val="32"/>
          <w:szCs w:val="32"/>
        </w:rPr>
      </w:pPr>
      <w:r>
        <w:rPr>
          <w:rFonts w:hint="eastAsia" w:ascii="楷体_GB2312" w:hAnsi="楷体" w:eastAsia="楷体_GB2312"/>
          <w:b/>
          <w:color w:val="auto"/>
          <w:sz w:val="32"/>
          <w:szCs w:val="32"/>
        </w:rPr>
        <w:t>加强生产过程的质量控制</w:t>
      </w:r>
    </w:p>
    <w:p>
      <w:pPr>
        <w:pStyle w:val="11"/>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 w:eastAsia="仿宋_GB2312"/>
          <w:color w:val="auto"/>
          <w:sz w:val="32"/>
          <w:szCs w:val="32"/>
        </w:rPr>
      </w:pPr>
      <w:r>
        <w:rPr>
          <w:rFonts w:hint="eastAsia" w:ascii="仿宋_GB2312" w:hAnsi="仿宋" w:eastAsia="仿宋_GB2312"/>
          <w:color w:val="auto"/>
          <w:sz w:val="32"/>
          <w:szCs w:val="32"/>
        </w:rPr>
        <w:t>食品生产过程是直接影响食品质量安全的关键。生产企业应严格执行食品加工过程标准工作程序，有效控制食品安全风险；提高操作人员的食品安全意识，督促员工建立良好的个人卫生习惯，遵守卫生标准操作程序，避免加工过程中的人为污染；定期对厂区内环境和设施进行消毒、清洁，并对环境进行微生物监测，以减少或避免生产过程中受到微生物的污染。</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4"/>
          <w:rFonts w:ascii="楷体_GB2312" w:hAnsi="楷体" w:eastAsia="楷体_GB2312"/>
          <w:color w:val="auto"/>
          <w:sz w:val="32"/>
          <w:szCs w:val="32"/>
          <w:highlight w:val="none"/>
        </w:rPr>
      </w:pPr>
      <w:r>
        <w:rPr>
          <w:rStyle w:val="14"/>
          <w:rFonts w:hint="eastAsia" w:ascii="楷体_GB2312" w:hAnsi="楷体" w:eastAsia="楷体_GB2312"/>
          <w:color w:val="auto"/>
          <w:sz w:val="32"/>
          <w:szCs w:val="32"/>
          <w:highlight w:val="none"/>
        </w:rPr>
        <w:t>（</w:t>
      </w:r>
      <w:r>
        <w:rPr>
          <w:rStyle w:val="14"/>
          <w:rFonts w:hint="eastAsia" w:ascii="楷体_GB2312" w:hAnsi="楷体" w:eastAsia="楷体_GB2312"/>
          <w:color w:val="auto"/>
          <w:sz w:val="32"/>
          <w:szCs w:val="32"/>
          <w:highlight w:val="none"/>
          <w:lang w:eastAsia="zh-CN"/>
        </w:rPr>
        <w:t>四</w:t>
      </w:r>
      <w:r>
        <w:rPr>
          <w:rStyle w:val="14"/>
          <w:rFonts w:hint="eastAsia" w:ascii="楷体_GB2312" w:hAnsi="楷体" w:eastAsia="楷体_GB2312"/>
          <w:color w:val="auto"/>
          <w:sz w:val="32"/>
          <w:szCs w:val="32"/>
          <w:highlight w:val="none"/>
        </w:rPr>
        <w:t>）提高食品添加剂安全使用意识</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cs="仿宋_GB2312"/>
          <w:sz w:val="32"/>
          <w:szCs w:val="32"/>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E93FEFE0-BC87-40DD-8E0B-91562A1DDD36}"/>
  </w:font>
  <w:font w:name="黑体">
    <w:panose1 w:val="02010609060101010101"/>
    <w:charset w:val="86"/>
    <w:family w:val="auto"/>
    <w:pitch w:val="default"/>
    <w:sig w:usb0="800002BF" w:usb1="38CF7CFA" w:usb2="00000016" w:usb3="00000000" w:csb0="00040001" w:csb1="00000000"/>
    <w:embedRegular r:id="rId2" w:fontKey="{B63E21F9-D041-4034-9BE5-3530C2A02B6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3" w:fontKey="{927E970B-ED5E-460F-A12A-9D5D7EA6824F}"/>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embedRegular r:id="rId4" w:fontKey="{0A6444B4-EB59-42E4-B209-D19123C30596}"/>
  </w:font>
  <w:font w:name="仿宋_GB2312">
    <w:panose1 w:val="02010609030101010101"/>
    <w:charset w:val="86"/>
    <w:family w:val="modern"/>
    <w:pitch w:val="default"/>
    <w:sig w:usb0="00000001" w:usb1="080E0000" w:usb2="00000000" w:usb3="00000000" w:csb0="00040000" w:csb1="00000000"/>
    <w:embedRegular r:id="rId5" w:fontKey="{B4DFB6C0-5798-4CF9-8F94-9EF19DFC703C}"/>
  </w:font>
  <w:font w:name="Calibri Light">
    <w:panose1 w:val="020F0302020204030204"/>
    <w:charset w:val="00"/>
    <w:family w:val="swiss"/>
    <w:pitch w:val="default"/>
    <w:sig w:usb0="A00002EF" w:usb1="4000207B" w:usb2="00000000" w:usb3="00000000" w:csb0="2000019F" w:csb1="00000000"/>
  </w:font>
  <w:font w:name="方正小标宋简体">
    <w:panose1 w:val="02000000000000000000"/>
    <w:charset w:val="86"/>
    <w:family w:val="script"/>
    <w:pitch w:val="default"/>
    <w:sig w:usb0="00000001" w:usb1="08000000" w:usb2="00000000" w:usb3="00000000" w:csb0="00040000" w:csb1="00000000"/>
    <w:embedRegular r:id="rId6" w:fontKey="{CFBF1E52-FD8B-4D88-A4D1-62F618D35039}"/>
  </w:font>
  <w:font w:name="华文中宋">
    <w:panose1 w:val="02010600040101010101"/>
    <w:charset w:val="86"/>
    <w:family w:val="auto"/>
    <w:pitch w:val="default"/>
    <w:sig w:usb0="00000287" w:usb1="080F0000" w:usb2="00000000" w:usb3="00000000" w:csb0="0004009F" w:csb1="DFD70000"/>
    <w:embedRegular r:id="rId7" w:fontKey="{09DF8F5E-1E15-49CF-991D-46C7E6B90E51}"/>
  </w:font>
  <w:font w:name="楷体">
    <w:panose1 w:val="02010609060101010101"/>
    <w:charset w:val="86"/>
    <w:family w:val="modern"/>
    <w:pitch w:val="default"/>
    <w:sig w:usb0="800002BF" w:usb1="38CF7CFA" w:usb2="00000016" w:usb3="00000000" w:csb0="00040001" w:csb1="00000000"/>
    <w:embedRegular r:id="rId8" w:fontKey="{75E8ABA6-62BF-4FF2-A9C9-9087EF33052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B36E8D"/>
    <w:multiLevelType w:val="singleLevel"/>
    <w:tmpl w:val="5BB36E8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6B1DCC"/>
    <w:rsid w:val="00724BD2"/>
    <w:rsid w:val="008D6C99"/>
    <w:rsid w:val="00B977A2"/>
    <w:rsid w:val="00BE4BAD"/>
    <w:rsid w:val="010D4506"/>
    <w:rsid w:val="017D0269"/>
    <w:rsid w:val="01D53863"/>
    <w:rsid w:val="034743C9"/>
    <w:rsid w:val="034F1986"/>
    <w:rsid w:val="03E020C5"/>
    <w:rsid w:val="03FD00B3"/>
    <w:rsid w:val="055921C9"/>
    <w:rsid w:val="055A195A"/>
    <w:rsid w:val="066C5CEA"/>
    <w:rsid w:val="06F0528D"/>
    <w:rsid w:val="07C82C95"/>
    <w:rsid w:val="081209FA"/>
    <w:rsid w:val="081B38E6"/>
    <w:rsid w:val="08AD06EB"/>
    <w:rsid w:val="08F00F9F"/>
    <w:rsid w:val="091C5D20"/>
    <w:rsid w:val="0A101FAB"/>
    <w:rsid w:val="0A545255"/>
    <w:rsid w:val="0AEA5DCE"/>
    <w:rsid w:val="0B66492E"/>
    <w:rsid w:val="0C455D22"/>
    <w:rsid w:val="0C6F4539"/>
    <w:rsid w:val="0CD4225F"/>
    <w:rsid w:val="0D6C4E32"/>
    <w:rsid w:val="0E431583"/>
    <w:rsid w:val="0EA93008"/>
    <w:rsid w:val="0EC839C2"/>
    <w:rsid w:val="0F261454"/>
    <w:rsid w:val="10AD16A7"/>
    <w:rsid w:val="1162065F"/>
    <w:rsid w:val="11B32DA0"/>
    <w:rsid w:val="11BA183E"/>
    <w:rsid w:val="11CE6913"/>
    <w:rsid w:val="11E172CB"/>
    <w:rsid w:val="1210526E"/>
    <w:rsid w:val="12AF7645"/>
    <w:rsid w:val="12B51B83"/>
    <w:rsid w:val="139A1CB2"/>
    <w:rsid w:val="13E774D5"/>
    <w:rsid w:val="141B2394"/>
    <w:rsid w:val="1512088F"/>
    <w:rsid w:val="155219D3"/>
    <w:rsid w:val="15FE7C46"/>
    <w:rsid w:val="16396F4B"/>
    <w:rsid w:val="16A52765"/>
    <w:rsid w:val="176818BF"/>
    <w:rsid w:val="17C62E78"/>
    <w:rsid w:val="17FA5E44"/>
    <w:rsid w:val="181E6360"/>
    <w:rsid w:val="18F91C2D"/>
    <w:rsid w:val="199008F8"/>
    <w:rsid w:val="19EB104A"/>
    <w:rsid w:val="1A19393D"/>
    <w:rsid w:val="1AC759AF"/>
    <w:rsid w:val="1B042E72"/>
    <w:rsid w:val="1C2B3ECE"/>
    <w:rsid w:val="1C354059"/>
    <w:rsid w:val="1EFD4E3F"/>
    <w:rsid w:val="1F456A61"/>
    <w:rsid w:val="1FEA3D63"/>
    <w:rsid w:val="200B2815"/>
    <w:rsid w:val="2103478D"/>
    <w:rsid w:val="219C06C7"/>
    <w:rsid w:val="231A399D"/>
    <w:rsid w:val="248553AF"/>
    <w:rsid w:val="249A66FD"/>
    <w:rsid w:val="255973C6"/>
    <w:rsid w:val="255D305C"/>
    <w:rsid w:val="257D0D7B"/>
    <w:rsid w:val="25D84592"/>
    <w:rsid w:val="26635934"/>
    <w:rsid w:val="26D25598"/>
    <w:rsid w:val="27084E46"/>
    <w:rsid w:val="274815F0"/>
    <w:rsid w:val="27537B32"/>
    <w:rsid w:val="27D171E0"/>
    <w:rsid w:val="282A264F"/>
    <w:rsid w:val="28664823"/>
    <w:rsid w:val="29292876"/>
    <w:rsid w:val="295771E6"/>
    <w:rsid w:val="29DF09A6"/>
    <w:rsid w:val="2A706ED1"/>
    <w:rsid w:val="2ACC6C6B"/>
    <w:rsid w:val="2C784420"/>
    <w:rsid w:val="2D2D024C"/>
    <w:rsid w:val="2DA27B95"/>
    <w:rsid w:val="2E172668"/>
    <w:rsid w:val="2E6B3A9D"/>
    <w:rsid w:val="2F085758"/>
    <w:rsid w:val="2F4F707A"/>
    <w:rsid w:val="2FFC71C6"/>
    <w:rsid w:val="307B5CC3"/>
    <w:rsid w:val="308A4336"/>
    <w:rsid w:val="31200851"/>
    <w:rsid w:val="3189778C"/>
    <w:rsid w:val="31AA7543"/>
    <w:rsid w:val="31EA5456"/>
    <w:rsid w:val="323F00BC"/>
    <w:rsid w:val="324700B2"/>
    <w:rsid w:val="330F0153"/>
    <w:rsid w:val="33132CF8"/>
    <w:rsid w:val="3334531C"/>
    <w:rsid w:val="348E513C"/>
    <w:rsid w:val="34B74329"/>
    <w:rsid w:val="35BC7A15"/>
    <w:rsid w:val="36A26439"/>
    <w:rsid w:val="37790A88"/>
    <w:rsid w:val="37DD6246"/>
    <w:rsid w:val="382D7593"/>
    <w:rsid w:val="38622AFA"/>
    <w:rsid w:val="387272BF"/>
    <w:rsid w:val="38865B2F"/>
    <w:rsid w:val="39275408"/>
    <w:rsid w:val="398B0B0F"/>
    <w:rsid w:val="39C64A66"/>
    <w:rsid w:val="3AB301FA"/>
    <w:rsid w:val="3B1904CB"/>
    <w:rsid w:val="3B2518DE"/>
    <w:rsid w:val="3BAB1A67"/>
    <w:rsid w:val="3BFE4DC9"/>
    <w:rsid w:val="3C064771"/>
    <w:rsid w:val="3CA67A9F"/>
    <w:rsid w:val="3CDD7A17"/>
    <w:rsid w:val="3DBC0B10"/>
    <w:rsid w:val="3DF44DD4"/>
    <w:rsid w:val="3E051E67"/>
    <w:rsid w:val="3E1079E4"/>
    <w:rsid w:val="3E182457"/>
    <w:rsid w:val="3E88008E"/>
    <w:rsid w:val="3E984FE9"/>
    <w:rsid w:val="3EC80CDE"/>
    <w:rsid w:val="3F033412"/>
    <w:rsid w:val="3F0B45B6"/>
    <w:rsid w:val="3F685D87"/>
    <w:rsid w:val="40191044"/>
    <w:rsid w:val="428251DB"/>
    <w:rsid w:val="42D71D53"/>
    <w:rsid w:val="4361204C"/>
    <w:rsid w:val="43974288"/>
    <w:rsid w:val="439F5506"/>
    <w:rsid w:val="44141429"/>
    <w:rsid w:val="44D452BA"/>
    <w:rsid w:val="45104BE6"/>
    <w:rsid w:val="460F4F06"/>
    <w:rsid w:val="464A4562"/>
    <w:rsid w:val="4848609B"/>
    <w:rsid w:val="4864409A"/>
    <w:rsid w:val="48E60C18"/>
    <w:rsid w:val="49346CC6"/>
    <w:rsid w:val="4B37566A"/>
    <w:rsid w:val="4C7A639D"/>
    <w:rsid w:val="4CE91A69"/>
    <w:rsid w:val="4DAC348D"/>
    <w:rsid w:val="4EBC0748"/>
    <w:rsid w:val="4ECC3762"/>
    <w:rsid w:val="4FE23640"/>
    <w:rsid w:val="4FED4605"/>
    <w:rsid w:val="503305EE"/>
    <w:rsid w:val="50561BEF"/>
    <w:rsid w:val="51CB6667"/>
    <w:rsid w:val="52332F51"/>
    <w:rsid w:val="528B5881"/>
    <w:rsid w:val="52A0415B"/>
    <w:rsid w:val="52E13353"/>
    <w:rsid w:val="52FE47AC"/>
    <w:rsid w:val="533A17A5"/>
    <w:rsid w:val="53465E28"/>
    <w:rsid w:val="534B1050"/>
    <w:rsid w:val="53785E73"/>
    <w:rsid w:val="539260FB"/>
    <w:rsid w:val="53FD7C6B"/>
    <w:rsid w:val="548A3477"/>
    <w:rsid w:val="550906E8"/>
    <w:rsid w:val="551B6EF1"/>
    <w:rsid w:val="557E5EAF"/>
    <w:rsid w:val="56D02FB6"/>
    <w:rsid w:val="5737759B"/>
    <w:rsid w:val="577D74E9"/>
    <w:rsid w:val="57FE2087"/>
    <w:rsid w:val="586B71C9"/>
    <w:rsid w:val="590154BD"/>
    <w:rsid w:val="59527B6B"/>
    <w:rsid w:val="59E33FF0"/>
    <w:rsid w:val="59EA54F5"/>
    <w:rsid w:val="5A5B4E1E"/>
    <w:rsid w:val="5B13142F"/>
    <w:rsid w:val="5C000884"/>
    <w:rsid w:val="5C224F8E"/>
    <w:rsid w:val="5C240B88"/>
    <w:rsid w:val="5E0D1B19"/>
    <w:rsid w:val="5E214E94"/>
    <w:rsid w:val="5E275C6B"/>
    <w:rsid w:val="5E553A15"/>
    <w:rsid w:val="5E7004E1"/>
    <w:rsid w:val="5E9E3209"/>
    <w:rsid w:val="5ECD4C7F"/>
    <w:rsid w:val="5F093C78"/>
    <w:rsid w:val="5F5A1107"/>
    <w:rsid w:val="5F831A12"/>
    <w:rsid w:val="6048573D"/>
    <w:rsid w:val="617E5460"/>
    <w:rsid w:val="61E02C8B"/>
    <w:rsid w:val="62547A4D"/>
    <w:rsid w:val="638239E5"/>
    <w:rsid w:val="63E10B0C"/>
    <w:rsid w:val="63F3279C"/>
    <w:rsid w:val="640612C6"/>
    <w:rsid w:val="6500065A"/>
    <w:rsid w:val="6537764C"/>
    <w:rsid w:val="65E578BD"/>
    <w:rsid w:val="666A4D62"/>
    <w:rsid w:val="668A5EDC"/>
    <w:rsid w:val="67180D7A"/>
    <w:rsid w:val="6756300A"/>
    <w:rsid w:val="67663F7B"/>
    <w:rsid w:val="6792245C"/>
    <w:rsid w:val="67AC56C6"/>
    <w:rsid w:val="6801069F"/>
    <w:rsid w:val="680F265C"/>
    <w:rsid w:val="69130912"/>
    <w:rsid w:val="69CB77D8"/>
    <w:rsid w:val="6A323B2C"/>
    <w:rsid w:val="6B1806CB"/>
    <w:rsid w:val="6C2646D1"/>
    <w:rsid w:val="6C721C9A"/>
    <w:rsid w:val="6C942E03"/>
    <w:rsid w:val="6D731B27"/>
    <w:rsid w:val="6E9610D2"/>
    <w:rsid w:val="6ECD36FF"/>
    <w:rsid w:val="6F1957D5"/>
    <w:rsid w:val="70254438"/>
    <w:rsid w:val="71DB6825"/>
    <w:rsid w:val="72A04A1F"/>
    <w:rsid w:val="72F24D9D"/>
    <w:rsid w:val="733275F5"/>
    <w:rsid w:val="738026E3"/>
    <w:rsid w:val="74104D2B"/>
    <w:rsid w:val="7432739D"/>
    <w:rsid w:val="747927C4"/>
    <w:rsid w:val="74AC69FF"/>
    <w:rsid w:val="754B170B"/>
    <w:rsid w:val="756F7B86"/>
    <w:rsid w:val="75A82AC5"/>
    <w:rsid w:val="75CA36CA"/>
    <w:rsid w:val="763955BF"/>
    <w:rsid w:val="773A01B0"/>
    <w:rsid w:val="77FC16E5"/>
    <w:rsid w:val="78BC4EF9"/>
    <w:rsid w:val="78C82F23"/>
    <w:rsid w:val="78FE0A2F"/>
    <w:rsid w:val="792F0912"/>
    <w:rsid w:val="7A7C11A9"/>
    <w:rsid w:val="7A895DC7"/>
    <w:rsid w:val="7B5E04A9"/>
    <w:rsid w:val="7BE41421"/>
    <w:rsid w:val="7C073518"/>
    <w:rsid w:val="7C4079FA"/>
    <w:rsid w:val="7F270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6">
    <w:name w:val="heading 1"/>
    <w:basedOn w:val="1"/>
    <w:next w:val="1"/>
    <w:qFormat/>
    <w:uiPriority w:val="0"/>
    <w:pPr>
      <w:keepNext/>
      <w:keepLines/>
      <w:spacing w:before="340" w:after="330" w:line="576" w:lineRule="auto"/>
      <w:outlineLvl w:val="0"/>
    </w:pPr>
    <w:rPr>
      <w:rFonts w:eastAsia="楷体_GB2312"/>
      <w:b/>
      <w:kern w:val="44"/>
    </w:rPr>
  </w:style>
  <w:style w:type="paragraph" w:styleId="7">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8">
    <w:name w:val="heading 3"/>
    <w:basedOn w:val="1"/>
    <w:next w:val="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4">
    <w:name w:val="Body Text First Indent"/>
    <w:basedOn w:val="5"/>
    <w:qFormat/>
    <w:uiPriority w:val="0"/>
    <w:pPr>
      <w:ind w:firstLine="420" w:firstLineChars="100"/>
    </w:pPr>
  </w:style>
  <w:style w:type="paragraph" w:styleId="5">
    <w:name w:val="Body Text"/>
    <w:basedOn w:val="1"/>
    <w:qFormat/>
    <w:uiPriority w:val="0"/>
    <w:rPr>
      <w:sz w:val="28"/>
    </w:rPr>
  </w:style>
  <w:style w:type="paragraph" w:styleId="9">
    <w:name w:val="footer"/>
    <w:basedOn w:val="1"/>
    <w:link w:val="18"/>
    <w:qFormat/>
    <w:uiPriority w:val="0"/>
    <w:pPr>
      <w:tabs>
        <w:tab w:val="center" w:pos="4153"/>
        <w:tab w:val="right" w:pos="8306"/>
      </w:tabs>
      <w:snapToGrid w:val="0"/>
      <w:jc w:val="left"/>
    </w:pPr>
    <w:rPr>
      <w:sz w:val="18"/>
      <w:szCs w:val="18"/>
    </w:rPr>
  </w:style>
  <w:style w:type="paragraph" w:styleId="10">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10"/>
    <w:qFormat/>
    <w:uiPriority w:val="0"/>
    <w:rPr>
      <w:rFonts w:ascii="Calibri" w:hAnsi="Calibri" w:eastAsia="仿宋_GB2312"/>
      <w:kern w:val="2"/>
      <w:sz w:val="18"/>
      <w:szCs w:val="18"/>
    </w:rPr>
  </w:style>
  <w:style w:type="character" w:customStyle="1" w:styleId="18">
    <w:name w:val="页脚 字符"/>
    <w:basedOn w:val="13"/>
    <w:link w:val="9"/>
    <w:qFormat/>
    <w:uiPriority w:val="0"/>
    <w:rPr>
      <w:rFonts w:ascii="Calibri" w:hAnsi="Calibri" w:eastAsia="仿宋_GB2312"/>
      <w:kern w:val="2"/>
      <w:sz w:val="18"/>
      <w:szCs w:val="18"/>
    </w:rPr>
  </w:style>
  <w:style w:type="character" w:customStyle="1" w:styleId="19">
    <w:name w:val="标题 2 字符"/>
    <w:basedOn w:val="13"/>
    <w:link w:val="7"/>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600</Words>
  <Characters>3426</Characters>
  <Lines>28</Lines>
  <Paragraphs>8</Paragraphs>
  <TotalTime>2</TotalTime>
  <ScaleCrop>false</ScaleCrop>
  <LinksUpToDate>false</LinksUpToDate>
  <CharactersWithSpaces>4018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韦慧勤</cp:lastModifiedBy>
  <dcterms:modified xsi:type="dcterms:W3CDTF">2021-09-16T03:43:42Z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2BCBADEB164F420AB7CA92621D404113</vt:lpwstr>
  </property>
</Properties>
</file>