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9"/>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kinsoku/>
        <w:wordWrap/>
        <w:overflowPunct/>
        <w:topLinePunct w:val="0"/>
        <w:autoSpaceDE/>
        <w:bidi w:val="0"/>
        <w:adjustRightInd/>
        <w:snapToGrid/>
        <w:spacing w:line="560" w:lineRule="exact"/>
        <w:ind w:firstLine="643" w:firstLineChars="200"/>
        <w:rPr>
          <w:rFonts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一</w:t>
      </w:r>
      <w:r>
        <w:rPr>
          <w:rFonts w:hint="eastAsia" w:ascii="楷体_GB2312" w:hAnsi="楷体" w:eastAsia="楷体_GB2312" w:cs="仿宋_GB2312"/>
          <w:b/>
          <w:color w:val="auto"/>
          <w:sz w:val="32"/>
          <w:szCs w:val="32"/>
        </w:rPr>
        <w:t>）过氧化值</w:t>
      </w:r>
    </w:p>
    <w:p>
      <w:pPr>
        <w:keepNext w:val="0"/>
        <w:keepLines w:val="0"/>
        <w:pageBreakBefore w:val="0"/>
        <w:widowControl/>
        <w:suppressLineNumbers w:val="0"/>
        <w:kinsoku/>
        <w:wordWrap/>
        <w:overflowPunct/>
        <w:topLinePunct w:val="0"/>
        <w:autoSpaceDE/>
        <w:bidi w:val="0"/>
        <w:adjustRightInd/>
        <w:snapToGrid/>
        <w:spacing w:line="560" w:lineRule="exact"/>
        <w:jc w:val="both"/>
        <w:rPr>
          <w:rFonts w:hint="eastAsia" w:ascii="仿宋_GB2312" w:hAnsi="仿宋" w:eastAsia="仿宋_GB2312"/>
          <w:sz w:val="32"/>
          <w:szCs w:val="32"/>
        </w:rPr>
      </w:pPr>
      <w:r>
        <w:rPr>
          <w:rFonts w:hint="eastAsia" w:ascii="仿宋_GB2312" w:hAnsi="仿宋" w:eastAsia="仿宋_GB2312" w:cs="仿宋"/>
          <w:sz w:val="32"/>
          <w:szCs w:val="32"/>
        </w:rPr>
        <w:t>过氧化值主要反映食品中油脂是否氧化变质。随着油脂被氧化，过氧化值会逐步升高。《食品安全国家标准 糕点、 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g/100g。食用</w:t>
      </w:r>
      <w:r>
        <w:rPr>
          <w:rFonts w:hint="eastAsia" w:ascii="仿宋_GB2312" w:hAnsi="仿宋" w:eastAsia="仿宋_GB2312"/>
          <w:sz w:val="32"/>
          <w:szCs w:val="32"/>
        </w:rPr>
        <w:t>过氧化值过高的食品可能会导致肠胃不适、腹泻等症状。</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（二）</w:t>
      </w:r>
      <w:r>
        <w:rPr>
          <w:rFonts w:hint="eastAsia" w:ascii="楷体_GB2312" w:hAnsi="楷体" w:eastAsia="楷体_GB2312" w:cs="仿宋_GB2312"/>
          <w:b/>
          <w:sz w:val="32"/>
          <w:szCs w:val="32"/>
        </w:rPr>
        <w:t>苯甲酸及其钠盐</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苯甲酸及其钠盐是食品工业中常见的一种防腐保鲜剂，对霉菌、酵母和细菌有较好的抑制作用。《食品安全国家标准</w:t>
      </w:r>
      <w:r>
        <w:rPr>
          <w:rFonts w:hint="eastAsia" w:ascii="仿宋_GB2312" w:hAnsi="仿宋" w:eastAsia="仿宋_GB2312" w:cs="Arial"/>
          <w:sz w:val="32"/>
          <w:szCs w:val="32"/>
          <w:shd w:val="clear" w:color="auto" w:fill="FFFFFF"/>
          <w:lang w:val="en-US" w:eastAsia="zh-CN"/>
        </w:rPr>
        <w:t xml:space="preserve"> </w:t>
      </w:r>
      <w:r>
        <w:rPr>
          <w:rFonts w:hint="eastAsia" w:ascii="仿宋_GB2312" w:hAnsi="仿宋" w:eastAsia="仿宋_GB2312" w:cs="Arial"/>
          <w:sz w:val="32"/>
          <w:szCs w:val="32"/>
          <w:shd w:val="clear" w:color="auto" w:fill="FFFFFF"/>
        </w:rPr>
        <w:t>食</w:t>
      </w:r>
      <w:r>
        <w:rPr>
          <w:rFonts w:hint="eastAsia" w:ascii="仿宋_GB2312" w:hAnsi="仿宋" w:eastAsia="仿宋_GB2312" w:cs="Arial"/>
          <w:sz w:val="32"/>
          <w:szCs w:val="32"/>
          <w:shd w:val="clear" w:color="auto" w:fill="FFFFFF"/>
        </w:rPr>
        <w:t>品添加剂使用标准》（GB 2760-2014）中规定，</w:t>
      </w:r>
      <w:r>
        <w:rPr>
          <w:rFonts w:hint="eastAsia" w:ascii="仿宋_GB2312" w:hAnsi="仿宋" w:eastAsia="仿宋_GB2312"/>
          <w:sz w:val="32"/>
          <w:szCs w:val="32"/>
        </w:rPr>
        <w:t>腌渍的蔬菜中苯甲酸及其钠盐（以苯甲酸计）应≤1.0 g/kg</w:t>
      </w:r>
      <w:r>
        <w:rPr>
          <w:rFonts w:hint="eastAsia" w:ascii="仿宋_GB2312" w:hAnsi="仿宋" w:eastAsia="仿宋_GB2312" w:cs="Arial"/>
          <w:sz w:val="32"/>
          <w:szCs w:val="32"/>
          <w:shd w:val="clear" w:color="auto" w:fill="FFFFFF"/>
        </w:rPr>
        <w:t>。苯甲酸及其钠盐的安全性较高，少量苯甲酸对人体无毒害，可随尿液排出体外，在人体内不会蓄积，但人体若长期过量食入苯甲酸超标的食品可能会对肝脏功能产生一定影响。</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三</w:t>
      </w:r>
      <w:r>
        <w:rPr>
          <w:rFonts w:hint="eastAsia" w:ascii="楷体_GB2312" w:hAnsi="楷体" w:eastAsia="楷体_GB2312" w:cs="Arial"/>
          <w:b/>
          <w:sz w:val="32"/>
          <w:szCs w:val="32"/>
          <w:shd w:val="clear" w:color="auto" w:fill="FFFFFF"/>
        </w:rPr>
        <w:t>）氟苯尼考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氟苯尼考又称氟甲砜霉素，是农业部批准使用的动物专用抗菌药，主要用于敏感细菌所致的猪、鸡、鱼的细菌性疾病。《食品安全国家标准 食品中兽药最大残留限量》（GB 31650-2019）中</w:t>
      </w:r>
      <w:r>
        <w:rPr>
          <w:rFonts w:hint="eastAsia" w:ascii="仿宋_GB2312" w:hAnsi="仿宋" w:eastAsia="仿宋_GB2312" w:cs="Arial"/>
          <w:color w:val="auto"/>
          <w:sz w:val="32"/>
          <w:szCs w:val="32"/>
          <w:shd w:val="clear" w:color="auto" w:fill="FFFFFF"/>
        </w:rPr>
        <w:t>规定，氟苯尼考可用于猪、牛、羊、禽、鱼等，但在产蛋期家禽中禁用（鸡蛋不</w:t>
      </w:r>
      <w:r>
        <w:rPr>
          <w:rFonts w:hint="eastAsia" w:ascii="仿宋_GB2312" w:hAnsi="仿宋" w:eastAsia="仿宋_GB2312" w:cs="Arial"/>
          <w:sz w:val="32"/>
          <w:szCs w:val="32"/>
          <w:shd w:val="clear" w:color="auto" w:fill="FFFFFF"/>
        </w:rPr>
        <w:t>得检出）。正常情况下消费者不必对禽蛋中检出氟苯尼考过于担心，但长期食用氟苯尼考残留超标的蛋品，对人体健康有一定风险。</w:t>
      </w:r>
    </w:p>
    <w:p>
      <w:pPr>
        <w:pStyle w:val="2"/>
        <w:numPr>
          <w:ilvl w:val="0"/>
          <w:numId w:val="1"/>
        </w:numPr>
        <w:ind w:firstLine="643" w:firstLineChars="200"/>
        <w:rPr>
          <w:rFonts w:hint="eastAsia" w:ascii="仿宋_GB2312" w:hAnsi="仿宋" w:cs="Arial"/>
          <w:sz w:val="32"/>
          <w:szCs w:val="32"/>
          <w:shd w:val="clear" w:color="auto" w:fill="FFFFFF"/>
          <w:lang w:eastAsia="zh-CN"/>
        </w:rPr>
      </w:pPr>
      <w:r>
        <w:rPr>
          <w:rFonts w:hint="eastAsia" w:ascii="仿宋_GB2312" w:hAnsi="仿宋" w:cs="Arial"/>
          <w:sz w:val="32"/>
          <w:szCs w:val="32"/>
          <w:shd w:val="clear" w:color="auto" w:fill="FFFFFF"/>
          <w:lang w:eastAsia="zh-CN"/>
        </w:rPr>
        <w:t>防腐剂混合使用时各自用量占其最大使用量的比例之和</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b/>
          <w:sz w:val="32"/>
          <w:szCs w:val="32"/>
          <w:lang w:eastAsia="zh-CN"/>
        </w:rPr>
        <w:t>（五）</w:t>
      </w:r>
      <w:r>
        <w:rPr>
          <w:rFonts w:hint="eastAsia" w:ascii="楷体_GB2312" w:hAnsi="楷体" w:eastAsia="楷体_GB2312"/>
          <w:b/>
          <w:sz w:val="32"/>
          <w:szCs w:val="32"/>
        </w:rPr>
        <w:t>谷氨酸钠</w:t>
      </w:r>
    </w:p>
    <w:p>
      <w:pPr>
        <w:spacing w:line="560" w:lineRule="exact"/>
        <w:ind w:firstLine="640" w:firstLineChars="200"/>
        <w:rPr>
          <w:rFonts w:ascii="仿宋_GB2312" w:hAnsi="仿宋" w:eastAsia="仿宋_GB2312"/>
          <w:sz w:val="32"/>
          <w:szCs w:val="32"/>
          <w:highlight w:val="none"/>
        </w:rPr>
      </w:pPr>
      <w:r>
        <w:rPr>
          <w:rFonts w:hint="eastAsia" w:ascii="仿宋_GB2312" w:hAnsi="仿宋" w:eastAsia="仿宋_GB2312" w:cs="仿宋_GB2312"/>
          <w:sz w:val="32"/>
          <w:szCs w:val="32"/>
        </w:rPr>
        <w:t>《谷氨酸钠（味精）》（GB/T 8967-2007）中规定，味精中谷氨酸钠含量应≥99.0％。</w:t>
      </w:r>
      <w:r>
        <w:rPr>
          <w:rFonts w:hint="eastAsia" w:ascii="仿宋_GB2312" w:hAnsi="仿宋" w:eastAsia="仿宋_GB2312" w:cs="宋体"/>
          <w:sz w:val="32"/>
          <w:szCs w:val="32"/>
          <w:highlight w:val="none"/>
        </w:rPr>
        <w:t>谷氨酸钠是反映味精鲜味的重要指标，不达标并不会对人体健康造成直接危害。但是味精的谷氨酸</w:t>
      </w:r>
      <w:r>
        <w:rPr>
          <w:rFonts w:hint="eastAsia" w:ascii="仿宋_GB2312" w:hAnsi="仿宋" w:cs="宋体"/>
          <w:sz w:val="32"/>
          <w:szCs w:val="32"/>
          <w:highlight w:val="none"/>
          <w:lang w:eastAsia="zh-CN"/>
        </w:rPr>
        <w:t>钠</w:t>
      </w:r>
      <w:r>
        <w:rPr>
          <w:rFonts w:hint="eastAsia" w:ascii="仿宋_GB2312" w:hAnsi="仿宋" w:eastAsia="仿宋_GB2312" w:cs="宋体"/>
          <w:sz w:val="32"/>
          <w:szCs w:val="32"/>
          <w:highlight w:val="none"/>
        </w:rPr>
        <w:t>含量与其成本有着直接的关系，生产谷氨酸</w:t>
      </w:r>
      <w:r>
        <w:rPr>
          <w:rFonts w:hint="eastAsia" w:ascii="仿宋_GB2312" w:hAnsi="仿宋" w:cs="宋体"/>
          <w:sz w:val="32"/>
          <w:szCs w:val="32"/>
          <w:highlight w:val="none"/>
          <w:lang w:eastAsia="zh-CN"/>
        </w:rPr>
        <w:t>钠</w:t>
      </w:r>
      <w:r>
        <w:rPr>
          <w:rFonts w:hint="eastAsia" w:ascii="仿宋_GB2312" w:hAnsi="仿宋" w:eastAsia="仿宋_GB2312" w:cs="宋体"/>
          <w:sz w:val="32"/>
          <w:szCs w:val="32"/>
          <w:highlight w:val="none"/>
        </w:rPr>
        <w:t>含量不达标的味精可能对消费者构成欺骗行为。</w:t>
      </w:r>
    </w:p>
    <w:p>
      <w:pPr>
        <w:spacing w:line="560" w:lineRule="exact"/>
        <w:ind w:left="0" w:leftChars="0" w:firstLine="643" w:firstLineChars="200"/>
        <w:rPr>
          <w:rFonts w:ascii="楷体_GB2312" w:hAnsi="楷体" w:eastAsia="楷体_GB2312"/>
          <w:b/>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六</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b/>
          <w:color w:val="000000" w:themeColor="text1"/>
          <w:sz w:val="32"/>
          <w:szCs w:val="32"/>
          <w14:textFill>
            <w14:solidFill>
              <w14:schemeClr w14:val="tx1"/>
            </w14:solidFill>
          </w14:textFill>
        </w:rPr>
        <w:t>菌落总数</w:t>
      </w:r>
    </w:p>
    <w:p>
      <w:pPr>
        <w:spacing w:line="560" w:lineRule="exact"/>
        <w:ind w:firstLine="640" w:firstLineChars="200"/>
        <w:rPr>
          <w:rFonts w:ascii="仿宋_GB2312" w:hAnsi="楷体" w:eastAsia="仿宋_GB2312" w:cs="Arial"/>
          <w:b/>
          <w:color w:val="000000" w:themeColor="text1"/>
          <w:sz w:val="32"/>
          <w:szCs w:val="32"/>
          <w:shd w:val="clear" w:color="auto" w:fill="FFFFFF"/>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《食品安全国家标准 蜜饯》</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14884-2016</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中规定，从一批产品中采</w:t>
      </w:r>
      <w:r>
        <w:rPr>
          <w:rFonts w:hint="eastAsia" w:ascii="仿宋_GB2312" w:hAnsi="仿宋" w:eastAsia="仿宋_GB2312"/>
          <w:color w:val="000000" w:themeColor="text1"/>
          <w:sz w:val="32"/>
          <w:szCs w:val="32"/>
          <w14:textFill>
            <w14:solidFill>
              <w14:schemeClr w14:val="tx1"/>
            </w14:solidFill>
          </w14:textFill>
        </w:rPr>
        <w:t>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CFU/g），则这种情况也是不允许的。《食品安全国家标准 糕点、面包》</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7099-2015</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食品的菌落总数超标，说明其产品的卫生状况达不到基本的卫生要求，将会破坏食品的营养成分，加速食品的腐败变质，使食品失去食用价值。消费者食用菌落总数</w:t>
      </w:r>
      <w:r>
        <w:rPr>
          <w:rFonts w:hint="eastAsia" w:ascii="仿宋_GB2312" w:hAnsi="仿宋" w:eastAsia="仿宋_GB2312"/>
          <w:color w:val="000000" w:themeColor="text1"/>
          <w:sz w:val="32"/>
          <w:szCs w:val="32"/>
          <w14:textFill>
            <w14:solidFill>
              <w14:schemeClr w14:val="tx1"/>
            </w14:solidFill>
          </w14:textFill>
        </w:rPr>
        <w:t>超标严重的食品，容易患痢疾等肠道疾病，会引起呕吐、腹泻等症状。</w:t>
      </w:r>
    </w:p>
    <w:p>
      <w:pPr>
        <w:spacing w:line="560" w:lineRule="exact"/>
        <w:ind w:firstLine="643" w:firstLineChars="200"/>
        <w:rPr>
          <w:rFonts w:ascii="楷体_GB2312" w:hAnsi="楷体" w:eastAsia="楷体_GB2312" w:cs="宋体"/>
          <w:b/>
          <w:color w:val="000000" w:themeColor="text1"/>
          <w:kern w:val="0"/>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七</w:t>
      </w:r>
      <w:r>
        <w:rPr>
          <w:rFonts w:hint="eastAsia" w:ascii="楷体_GB2312" w:hAnsi="楷体" w:eastAsia="楷体_GB2312" w:cs="仿宋_GB2312"/>
          <w:b/>
          <w:color w:val="000000" w:themeColor="text1"/>
          <w:sz w:val="32"/>
          <w:szCs w:val="32"/>
          <w14:textFill>
            <w14:solidFill>
              <w14:schemeClr w14:val="tx1"/>
            </w14:solidFill>
          </w14:textFill>
        </w:rPr>
        <w:t>）酸价</w:t>
      </w:r>
    </w:p>
    <w:p>
      <w:pPr>
        <w:pStyle w:val="8"/>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酸价主要反映食品中的油脂酸败程度。《食品安全国家标准 糕点、面包》GB 7099-2015中规定，糕点的酸价(以脂肪计)应≤5mg/g。酸价过高会导致食品有哈喇味，所产生的醛、酮、酸会破坏脂溶性维生素，会导致肠胃不适症状，特别是对抵抗能力较弱的老人、孕妇、小孩危害更明显。</w:t>
      </w:r>
    </w:p>
    <w:p>
      <w:pPr>
        <w:widowControl/>
        <w:ind w:left="0" w:leftChars="0" w:firstLine="643"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（八）</w:t>
      </w:r>
      <w:r>
        <w:rPr>
          <w:rFonts w:ascii="楷体_GB2312" w:hAnsi="宋体" w:eastAsia="楷体_GB2312" w:cs="宋体"/>
          <w:b/>
          <w:kern w:val="0"/>
          <w:sz w:val="32"/>
          <w:szCs w:val="32"/>
        </w:rPr>
        <w:t>糖精钠　</w:t>
      </w:r>
    </w:p>
    <w:p>
      <w:pPr>
        <w:widowControl/>
        <w:ind w:left="0" w:leftChars="0" w:firstLine="640" w:firstLineChars="200"/>
        <w:jc w:val="left"/>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糖精钠是食品工业中常用的合成甜味剂。《食品安全国家标准</w:t>
      </w:r>
      <w:r>
        <w:rPr>
          <w:rFonts w:hint="eastAsia" w:ascii="仿宋_GB2312" w:hAnsi="仿宋" w:eastAsia="仿宋_GB2312" w:cs="宋体"/>
          <w:kern w:val="0"/>
          <w:sz w:val="32"/>
          <w:szCs w:val="32"/>
          <w:lang w:val="en-US" w:eastAsia="zh-CN" w:bidi="ar-SA"/>
        </w:rPr>
        <w:t xml:space="preserve"> </w:t>
      </w:r>
      <w:r>
        <w:rPr>
          <w:rFonts w:hint="eastAsia" w:ascii="仿宋_GB2312" w:hAnsi="仿宋" w:eastAsia="仿宋_GB2312" w:cs="宋体"/>
          <w:kern w:val="0"/>
          <w:sz w:val="32"/>
          <w:szCs w:val="32"/>
          <w:lang w:val="zh-CN" w:eastAsia="zh-CN" w:bidi="ar-SA"/>
        </w:rPr>
        <w:t>食品添加剂使用标准》（GB 2760—2014）中规定，腌渍的蔬菜中糖精钠（以糖精计）应</w:t>
      </w:r>
      <w:r>
        <w:rPr>
          <w:rFonts w:hint="eastAsia" w:ascii="仿宋_GB2312" w:hAnsi="仿宋" w:eastAsia="仿宋_GB2312" w:cs="宋体"/>
          <w:kern w:val="0"/>
          <w:sz w:val="32"/>
          <w:szCs w:val="32"/>
          <w:lang w:val="en-US" w:eastAsia="zh-CN" w:bidi="ar-SA"/>
        </w:rPr>
        <w:t>≤0.15g/kg</w:t>
      </w:r>
      <w:r>
        <w:rPr>
          <w:rFonts w:hint="eastAsia" w:ascii="仿宋_GB2312" w:hAnsi="仿宋" w:eastAsia="仿宋_GB2312" w:cs="宋体"/>
          <w:kern w:val="0"/>
          <w:sz w:val="32"/>
          <w:szCs w:val="32"/>
          <w:lang w:val="zh-CN" w:eastAsia="zh-CN" w:bidi="ar-SA"/>
        </w:rPr>
        <w:t>。糖精钠对人体无任何营养价值，食用较多的糖精钠，会影响肠胃消化酶的正常分泌，降低小肠的吸收能力，使食欲减退。</w:t>
      </w:r>
    </w:p>
    <w:p>
      <w:pPr>
        <w:widowControl/>
        <w:ind w:left="0" w:leftChars="0" w:firstLine="643" w:firstLineChars="200"/>
        <w:jc w:val="left"/>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eastAsia="zh-CN"/>
        </w:rPr>
        <w:t>（九）甜蜜素</w:t>
      </w:r>
    </w:p>
    <w:p>
      <w:pPr>
        <w:widowControl/>
        <w:ind w:left="0" w:leftChars="0" w:firstLine="640" w:firstLineChars="200"/>
        <w:jc w:val="left"/>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甜蜜素化学名称为环己基</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"http://baike.sogou.com/lemma/ShowInnerLink.htm?lemmaId=5618812"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氨基磺酸</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钠，是一种常用</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"http://baike.sogou.com/lemma/ShowInnerLink.htm?lemmaId=130009"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甜味剂</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，其甜度是蔗糖的30～40倍，作为非营养型</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"http://baike.sogou.com/lemma/ShowInnerLink.htm?lemmaId=130009&amp;ss_c=ssc.citiao.link"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甜味剂</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，可广泛用于面包、糕点、饮料、配制酒及蜜饯等各种食品中。《食品安全国家标准 食品添加剂使用标准》（GB 2760-2014）中规定，蜜饯凉果的甜蜜素(以环己基氨基磺酸计)应≤8.0 g/kg，腌渍的蔬菜中甜蜜素(以环己基氨基磺酸计)应≤1.0 g/kg。消费者如果长期过度食用甜蜜素超标的食品，会对人体造成危害，特别是对代谢排毒能力较弱的老人、孕妇、小孩危害更明显。</w:t>
      </w:r>
    </w:p>
    <w:p>
      <w:pPr>
        <w:widowControl/>
        <w:ind w:left="0" w:leftChars="0" w:firstLine="643" w:firstLineChars="200"/>
        <w:jc w:val="left"/>
        <w:rPr>
          <w:rFonts w:hint="default"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（十）</w:t>
      </w:r>
      <w:r>
        <w:rPr>
          <w:rFonts w:hint="eastAsia" w:ascii="楷体_GB2312" w:hAnsi="宋体" w:eastAsia="楷体_GB2312" w:cs="宋体"/>
          <w:b/>
          <w:kern w:val="0"/>
          <w:sz w:val="32"/>
          <w:szCs w:val="32"/>
          <w:lang w:eastAsia="zh-CN"/>
        </w:rPr>
        <w:t>乙二胺四乙酸二钠</w:t>
      </w:r>
    </w:p>
    <w:p>
      <w:pPr>
        <w:widowControl/>
        <w:ind w:left="0" w:leftChars="0" w:firstLine="640" w:firstLineChars="200"/>
        <w:jc w:val="left"/>
        <w:rPr>
          <w:rFonts w:hint="eastAsia"/>
          <w:lang w:eastAsia="zh-CN"/>
        </w:rPr>
      </w:pPr>
      <w:r>
        <w:rPr>
          <w:rFonts w:hint="eastAsia" w:ascii="仿宋_GB2312" w:hAnsi="仿宋" w:eastAsia="仿宋_GB2312" w:cs="宋体"/>
          <w:kern w:val="0"/>
          <w:sz w:val="32"/>
          <w:szCs w:val="32"/>
          <w:lang w:val="zh-CN" w:eastAsia="zh-CN" w:bidi="ar-SA"/>
        </w:rPr>
        <w:t>乙二胺四乙酸二钠又叫做EDTA-2Na，作为食品添加剂广泛用作稳定剂、抗氧化剂、防腐剂、螯合剂、防止金属离子</w:t>
      </w:r>
      <w:r>
        <w:rPr>
          <w:rFonts w:hint="eastAsia" w:ascii="仿宋_GB2312" w:hAnsi="仿宋" w:cs="宋体"/>
          <w:kern w:val="0"/>
          <w:sz w:val="32"/>
          <w:szCs w:val="32"/>
          <w:lang w:val="zh-CN" w:eastAsia="zh-CN" w:bidi="ar-SA"/>
        </w:rPr>
        <w:t>引</w:t>
      </w:r>
      <w:r>
        <w:rPr>
          <w:rFonts w:hint="eastAsia" w:ascii="仿宋_GB2312" w:hAnsi="仿宋" w:eastAsia="仿宋_GB2312" w:cs="宋体"/>
          <w:kern w:val="0"/>
          <w:sz w:val="32"/>
          <w:szCs w:val="32"/>
          <w:lang w:val="zh-CN" w:eastAsia="zh-CN" w:bidi="ar-SA"/>
        </w:rPr>
        <w:t>起的变色、变质、变浊及维生素的氧化损失。《食品安全国家标准 食品添加剂使用标准》（GB 2760-2014）</w:t>
      </w:r>
      <w:r>
        <w:rPr>
          <w:rFonts w:hint="eastAsia" w:ascii="仿宋_GB2312" w:hAnsi="仿宋" w:cs="宋体"/>
          <w:kern w:val="0"/>
          <w:sz w:val="32"/>
          <w:szCs w:val="32"/>
          <w:lang w:val="zh-CN" w:eastAsia="zh-CN" w:bidi="ar-SA"/>
        </w:rPr>
        <w:t>中规定，果脯类（仅限地瓜果脯）</w:t>
      </w:r>
      <w:r>
        <w:rPr>
          <w:rFonts w:hint="eastAsia" w:ascii="仿宋_GB2312" w:hAnsi="仿宋" w:eastAsia="仿宋_GB2312" w:cs="宋体"/>
          <w:kern w:val="0"/>
          <w:sz w:val="32"/>
          <w:szCs w:val="32"/>
          <w:lang w:val="zh-CN" w:eastAsia="zh-CN" w:bidi="ar-SA"/>
        </w:rPr>
        <w:t>乙二胺四乙酸二钠</w:t>
      </w:r>
      <w:r>
        <w:rPr>
          <w:rFonts w:hint="eastAsia" w:ascii="仿宋_GB2312" w:hAnsi="仿宋" w:cs="宋体"/>
          <w:kern w:val="0"/>
          <w:sz w:val="32"/>
          <w:szCs w:val="32"/>
          <w:lang w:val="zh-CN" w:eastAsia="zh-CN" w:bidi="ar-SA"/>
        </w:rPr>
        <w:t>应</w:t>
      </w:r>
      <w:r>
        <w:rPr>
          <w:rFonts w:hint="eastAsia" w:ascii="仿宋_GB2312" w:hAnsi="仿宋" w:eastAsia="仿宋_GB2312" w:cs="宋体"/>
          <w:kern w:val="0"/>
          <w:sz w:val="32"/>
          <w:szCs w:val="32"/>
          <w:lang w:val="zh-CN" w:eastAsia="zh-CN" w:bidi="ar-SA"/>
        </w:rPr>
        <w:t>≤</w:t>
      </w:r>
      <w:r>
        <w:rPr>
          <w:rFonts w:hint="eastAsia" w:ascii="仿宋_GB2312" w:hAnsi="仿宋" w:cs="宋体"/>
          <w:kern w:val="0"/>
          <w:sz w:val="32"/>
          <w:szCs w:val="32"/>
          <w:lang w:val="en-US" w:eastAsia="zh-CN" w:bidi="ar-SA"/>
        </w:rPr>
        <w:t>0.25g/kg。</w:t>
      </w:r>
      <w:r>
        <w:rPr>
          <w:rFonts w:hint="eastAsia" w:ascii="仿宋_GB2312" w:hAnsi="仿宋" w:eastAsia="仿宋_GB2312" w:cs="宋体"/>
          <w:kern w:val="0"/>
          <w:sz w:val="32"/>
          <w:szCs w:val="32"/>
          <w:lang w:val="zh-CN" w:eastAsia="zh-CN" w:bidi="ar-SA"/>
        </w:rPr>
        <w:t>乙二胺四乙酸二钠在人体内不分解而排出，会造成人体缺钙，也可引起暂时性血压下降、肾脏障碍。部分生产企业出于防止氧化变色及防腐的目的，对蜜饯食品</w:t>
      </w:r>
      <w:r>
        <w:rPr>
          <w:rFonts w:hint="eastAsia" w:ascii="仿宋_GB2312" w:hAnsi="仿宋" w:cs="宋体"/>
          <w:color w:val="auto"/>
          <w:kern w:val="0"/>
          <w:sz w:val="32"/>
          <w:szCs w:val="32"/>
          <w:lang w:val="zh-CN" w:eastAsia="zh-CN" w:bidi="ar-SA"/>
        </w:rPr>
        <w:t>超剂量使用</w:t>
      </w:r>
      <w:r>
        <w:rPr>
          <w:rFonts w:hint="eastAsia" w:ascii="仿宋_GB2312" w:hAnsi="仿宋" w:eastAsia="仿宋_GB2312" w:cs="宋体"/>
          <w:kern w:val="0"/>
          <w:sz w:val="32"/>
          <w:szCs w:val="32"/>
          <w:lang w:val="zh-CN" w:eastAsia="zh-CN" w:bidi="ar-SA"/>
        </w:rPr>
        <w:t>乙二胺四乙酸二钠</w:t>
      </w:r>
      <w:r>
        <w:rPr>
          <w:rFonts w:hint="eastAsia" w:ascii="仿宋_GB2312" w:hAnsi="仿宋" w:cs="宋体"/>
          <w:color w:val="auto"/>
          <w:kern w:val="0"/>
          <w:sz w:val="32"/>
          <w:szCs w:val="32"/>
          <w:lang w:val="zh-CN" w:eastAsia="zh-CN" w:bidi="ar-SA"/>
        </w:rPr>
        <w:t>，</w:t>
      </w:r>
      <w:r>
        <w:rPr>
          <w:rFonts w:hint="eastAsia" w:ascii="仿宋_GB2312" w:hAnsi="仿宋" w:eastAsia="仿宋_GB2312" w:cs="宋体"/>
          <w:kern w:val="0"/>
          <w:sz w:val="32"/>
          <w:szCs w:val="32"/>
          <w:lang w:val="zh-CN" w:eastAsia="zh-CN" w:bidi="ar-SA"/>
        </w:rPr>
        <w:t>或由于计量器具不准确、添加方法不正确等原因导致终产品中乙二胺四乙酸二钠超标。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加强生产过程的质量控制</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2"/>
          <w:rFonts w:ascii="楷体_GB2312" w:hAnsi="楷体" w:eastAsia="楷体_GB2312"/>
          <w:color w:val="auto"/>
          <w:sz w:val="32"/>
          <w:szCs w:val="32"/>
          <w:highlight w:val="none"/>
        </w:rPr>
      </w:pPr>
      <w:r>
        <w:rPr>
          <w:rStyle w:val="12"/>
          <w:rFonts w:hint="eastAsia" w:ascii="楷体_GB2312" w:hAnsi="楷体" w:eastAsia="楷体_GB2312"/>
          <w:color w:val="auto"/>
          <w:sz w:val="32"/>
          <w:szCs w:val="32"/>
          <w:highlight w:val="none"/>
        </w:rPr>
        <w:t>（</w:t>
      </w:r>
      <w:r>
        <w:rPr>
          <w:rStyle w:val="12"/>
          <w:rFonts w:hint="eastAsia" w:ascii="楷体_GB2312" w:hAnsi="楷体" w:eastAsia="楷体_GB2312"/>
          <w:color w:val="auto"/>
          <w:sz w:val="32"/>
          <w:szCs w:val="32"/>
          <w:highlight w:val="none"/>
          <w:lang w:eastAsia="zh-CN"/>
        </w:rPr>
        <w:t>四</w:t>
      </w:r>
      <w:r>
        <w:rPr>
          <w:rStyle w:val="12"/>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F2E96D6-4DD4-4461-8DFF-66F6A23CC4D7}"/>
  </w:font>
  <w:font w:name="黑体">
    <w:panose1 w:val="02010609060101010101"/>
    <w:charset w:val="86"/>
    <w:family w:val="auto"/>
    <w:pitch w:val="default"/>
    <w:sig w:usb0="800002BF" w:usb1="38CF7CFA" w:usb2="00000016" w:usb3="00000000" w:csb0="00040001" w:csb1="00000000"/>
    <w:embedRegular r:id="rId2" w:fontKey="{FEE57558-6CB9-4BF4-9203-E41C0ADA1A9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1B201891-6826-4D3A-9714-36B2D73619D7}"/>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43A72D31-0AA4-4C1D-B10D-B0C3D67652EC}"/>
  </w:font>
  <w:font w:name="仿宋_GB2312">
    <w:panose1 w:val="02010609030101010101"/>
    <w:charset w:val="86"/>
    <w:family w:val="modern"/>
    <w:pitch w:val="default"/>
    <w:sig w:usb0="00000001" w:usb1="080E0000" w:usb2="00000000" w:usb3="00000000" w:csb0="00040000" w:csb1="00000000"/>
    <w:embedRegular r:id="rId5" w:fontKey="{1DAACE8D-F193-4E01-BCA3-52DAB384DE77}"/>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6" w:fontKey="{910BDCF0-440B-4BA1-BFD0-27AA9FEBA952}"/>
  </w:font>
  <w:font w:name="华文中宋">
    <w:panose1 w:val="02010600040101010101"/>
    <w:charset w:val="86"/>
    <w:family w:val="auto"/>
    <w:pitch w:val="default"/>
    <w:sig w:usb0="00000287" w:usb1="080F0000" w:usb2="00000000" w:usb3="00000000" w:csb0="0004009F" w:csb1="DFD70000"/>
    <w:embedRegular r:id="rId7" w:fontKey="{B775C61F-4B8F-4DFC-B210-3210657C981B}"/>
  </w:font>
  <w:font w:name="楷体">
    <w:panose1 w:val="02010609060101010101"/>
    <w:charset w:val="86"/>
    <w:family w:val="modern"/>
    <w:pitch w:val="default"/>
    <w:sig w:usb0="800002BF" w:usb1="38CF7CFA" w:usb2="00000016" w:usb3="00000000" w:csb0="00040001" w:csb1="00000000"/>
    <w:embedRegular r:id="rId8" w:fontKey="{00CA0DF6-963F-40DC-BBC4-5A524D8815B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0D53A6"/>
    <w:multiLevelType w:val="singleLevel"/>
    <w:tmpl w:val="C10D53A6"/>
    <w:lvl w:ilvl="0" w:tentative="0">
      <w:start w:val="4"/>
      <w:numFmt w:val="chineseCounting"/>
      <w:suff w:val="nothing"/>
      <w:lvlText w:val="（%1）"/>
      <w:lvlJc w:val="left"/>
      <w:rPr>
        <w:rFonts w:hint="eastAsia"/>
      </w:rPr>
    </w:lvl>
  </w:abstractNum>
  <w:abstractNum w:abstractNumId="1">
    <w:nsid w:val="5BB36E8D"/>
    <w:multiLevelType w:val="singleLevel"/>
    <w:tmpl w:val="5BB36E8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1D53863"/>
    <w:rsid w:val="034743C9"/>
    <w:rsid w:val="034F1986"/>
    <w:rsid w:val="03E020C5"/>
    <w:rsid w:val="03FD00B3"/>
    <w:rsid w:val="055921C9"/>
    <w:rsid w:val="055A195A"/>
    <w:rsid w:val="061451E0"/>
    <w:rsid w:val="066C5CEA"/>
    <w:rsid w:val="06F0528D"/>
    <w:rsid w:val="07C82C95"/>
    <w:rsid w:val="081209FA"/>
    <w:rsid w:val="08AD06EB"/>
    <w:rsid w:val="08F00F9F"/>
    <w:rsid w:val="091C5D20"/>
    <w:rsid w:val="0A101FAB"/>
    <w:rsid w:val="0A545255"/>
    <w:rsid w:val="0AEA5DCE"/>
    <w:rsid w:val="0B66492E"/>
    <w:rsid w:val="0C455D22"/>
    <w:rsid w:val="0C6F4539"/>
    <w:rsid w:val="0CD4225F"/>
    <w:rsid w:val="0D6C4E32"/>
    <w:rsid w:val="0EA93008"/>
    <w:rsid w:val="0EC839C2"/>
    <w:rsid w:val="0F261454"/>
    <w:rsid w:val="10AD16A7"/>
    <w:rsid w:val="1162065F"/>
    <w:rsid w:val="11B32DA0"/>
    <w:rsid w:val="11BA183E"/>
    <w:rsid w:val="11CE6913"/>
    <w:rsid w:val="11E172CB"/>
    <w:rsid w:val="1210526E"/>
    <w:rsid w:val="12AF7645"/>
    <w:rsid w:val="12B51B83"/>
    <w:rsid w:val="139A1CB2"/>
    <w:rsid w:val="141B2394"/>
    <w:rsid w:val="1512088F"/>
    <w:rsid w:val="155219D3"/>
    <w:rsid w:val="15FE7C46"/>
    <w:rsid w:val="16396F4B"/>
    <w:rsid w:val="16A52765"/>
    <w:rsid w:val="176818BF"/>
    <w:rsid w:val="17C62E78"/>
    <w:rsid w:val="17FA5E44"/>
    <w:rsid w:val="181E6360"/>
    <w:rsid w:val="18F91C2D"/>
    <w:rsid w:val="199008F8"/>
    <w:rsid w:val="19EB104A"/>
    <w:rsid w:val="1AC759AF"/>
    <w:rsid w:val="1B042E72"/>
    <w:rsid w:val="1C2B3ECE"/>
    <w:rsid w:val="1C354059"/>
    <w:rsid w:val="1EFD4E3F"/>
    <w:rsid w:val="1F456A61"/>
    <w:rsid w:val="200B2815"/>
    <w:rsid w:val="2103478D"/>
    <w:rsid w:val="219C06C7"/>
    <w:rsid w:val="231A399D"/>
    <w:rsid w:val="249A66FD"/>
    <w:rsid w:val="255973C6"/>
    <w:rsid w:val="257D0D7B"/>
    <w:rsid w:val="25D84592"/>
    <w:rsid w:val="26635934"/>
    <w:rsid w:val="26D25598"/>
    <w:rsid w:val="27084E46"/>
    <w:rsid w:val="274815F0"/>
    <w:rsid w:val="27537B32"/>
    <w:rsid w:val="27D171E0"/>
    <w:rsid w:val="282A264F"/>
    <w:rsid w:val="29292876"/>
    <w:rsid w:val="29DF09A6"/>
    <w:rsid w:val="2C784420"/>
    <w:rsid w:val="2D2D024C"/>
    <w:rsid w:val="2DA27B95"/>
    <w:rsid w:val="2E172668"/>
    <w:rsid w:val="2E6B3A9D"/>
    <w:rsid w:val="2F085758"/>
    <w:rsid w:val="2F4F707A"/>
    <w:rsid w:val="2FFC71C6"/>
    <w:rsid w:val="307B5CC3"/>
    <w:rsid w:val="308A4336"/>
    <w:rsid w:val="31200851"/>
    <w:rsid w:val="31AA7543"/>
    <w:rsid w:val="31EA5456"/>
    <w:rsid w:val="323F00BC"/>
    <w:rsid w:val="324700B2"/>
    <w:rsid w:val="330F0153"/>
    <w:rsid w:val="33132CF8"/>
    <w:rsid w:val="348E513C"/>
    <w:rsid w:val="34B74329"/>
    <w:rsid w:val="35BC7A15"/>
    <w:rsid w:val="36A26439"/>
    <w:rsid w:val="37790A88"/>
    <w:rsid w:val="37DD6246"/>
    <w:rsid w:val="382D7593"/>
    <w:rsid w:val="38622AFA"/>
    <w:rsid w:val="387272BF"/>
    <w:rsid w:val="38865B2F"/>
    <w:rsid w:val="39275408"/>
    <w:rsid w:val="398B0B0F"/>
    <w:rsid w:val="39C64A66"/>
    <w:rsid w:val="3B1904CB"/>
    <w:rsid w:val="3B2518DE"/>
    <w:rsid w:val="3BAB1A67"/>
    <w:rsid w:val="3BFE4DC9"/>
    <w:rsid w:val="3C064771"/>
    <w:rsid w:val="3CA67A9F"/>
    <w:rsid w:val="3CDD7A17"/>
    <w:rsid w:val="3DBC0B10"/>
    <w:rsid w:val="3E051E67"/>
    <w:rsid w:val="3E1079E4"/>
    <w:rsid w:val="3E88008E"/>
    <w:rsid w:val="3E984FE9"/>
    <w:rsid w:val="3EC80CDE"/>
    <w:rsid w:val="3F033412"/>
    <w:rsid w:val="3F0B45B6"/>
    <w:rsid w:val="3F685D87"/>
    <w:rsid w:val="40191044"/>
    <w:rsid w:val="428251DB"/>
    <w:rsid w:val="43974288"/>
    <w:rsid w:val="44141429"/>
    <w:rsid w:val="45104BE6"/>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4B241C"/>
    <w:rsid w:val="50561BEF"/>
    <w:rsid w:val="52332F51"/>
    <w:rsid w:val="528B5881"/>
    <w:rsid w:val="52A0415B"/>
    <w:rsid w:val="52FE47AC"/>
    <w:rsid w:val="533A17A5"/>
    <w:rsid w:val="53465E28"/>
    <w:rsid w:val="534B1050"/>
    <w:rsid w:val="53785E73"/>
    <w:rsid w:val="539260FB"/>
    <w:rsid w:val="53FD7C6B"/>
    <w:rsid w:val="548A3477"/>
    <w:rsid w:val="550906E8"/>
    <w:rsid w:val="551B6EF1"/>
    <w:rsid w:val="557E5EAF"/>
    <w:rsid w:val="56D02FB6"/>
    <w:rsid w:val="5737759B"/>
    <w:rsid w:val="57FE2087"/>
    <w:rsid w:val="586B71C9"/>
    <w:rsid w:val="59527B6B"/>
    <w:rsid w:val="59E33FF0"/>
    <w:rsid w:val="59EA54F5"/>
    <w:rsid w:val="5A5B4E1E"/>
    <w:rsid w:val="5C000884"/>
    <w:rsid w:val="5C224F8E"/>
    <w:rsid w:val="5C240B88"/>
    <w:rsid w:val="5E0D1B19"/>
    <w:rsid w:val="5E214E94"/>
    <w:rsid w:val="5E275C6B"/>
    <w:rsid w:val="5E553A15"/>
    <w:rsid w:val="5E7004E1"/>
    <w:rsid w:val="5E9E3209"/>
    <w:rsid w:val="5ECD4C7F"/>
    <w:rsid w:val="5F093C78"/>
    <w:rsid w:val="5F5A1107"/>
    <w:rsid w:val="6048573D"/>
    <w:rsid w:val="617E5460"/>
    <w:rsid w:val="61E02C8B"/>
    <w:rsid w:val="62547A4D"/>
    <w:rsid w:val="638239E5"/>
    <w:rsid w:val="63E10B0C"/>
    <w:rsid w:val="640612C6"/>
    <w:rsid w:val="6537764C"/>
    <w:rsid w:val="65E578BD"/>
    <w:rsid w:val="666A4D62"/>
    <w:rsid w:val="668A5EDC"/>
    <w:rsid w:val="67180D7A"/>
    <w:rsid w:val="6756300A"/>
    <w:rsid w:val="67663F7B"/>
    <w:rsid w:val="6792245C"/>
    <w:rsid w:val="67AC56C6"/>
    <w:rsid w:val="6801069F"/>
    <w:rsid w:val="680F265C"/>
    <w:rsid w:val="69130912"/>
    <w:rsid w:val="69CB77D8"/>
    <w:rsid w:val="6A323B2C"/>
    <w:rsid w:val="6B1806CB"/>
    <w:rsid w:val="6C2646D1"/>
    <w:rsid w:val="6C721C9A"/>
    <w:rsid w:val="6C942E03"/>
    <w:rsid w:val="6D731B27"/>
    <w:rsid w:val="6E9610D2"/>
    <w:rsid w:val="6ECD36FF"/>
    <w:rsid w:val="6F1957D5"/>
    <w:rsid w:val="70254438"/>
    <w:rsid w:val="71DB6825"/>
    <w:rsid w:val="72A04A1F"/>
    <w:rsid w:val="72F24D9D"/>
    <w:rsid w:val="733275F5"/>
    <w:rsid w:val="738026E3"/>
    <w:rsid w:val="74104D2B"/>
    <w:rsid w:val="747927C4"/>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7"/>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qFormat/>
    <w:uiPriority w:val="0"/>
    <w:pPr>
      <w:spacing w:before="120" w:after="120"/>
      <w:ind w:firstLine="480"/>
    </w:pPr>
    <w:rPr>
      <w:rFonts w:ascii="宋体" w:hAnsi="宋体"/>
      <w:sz w:val="24"/>
      <w:szCs w:val="20"/>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9">
    <w:name w:val="Body Text First Indent 2"/>
    <w:basedOn w:val="5"/>
    <w:qFormat/>
    <w:uiPriority w:val="0"/>
    <w:pPr>
      <w:spacing w:before="0"/>
      <w:ind w:left="420" w:leftChars="200" w:firstLine="420"/>
    </w:pPr>
  </w:style>
  <w:style w:type="character" w:styleId="12">
    <w:name w:val="Strong"/>
    <w:basedOn w:val="11"/>
    <w:qFormat/>
    <w:uiPriority w:val="22"/>
    <w:rPr>
      <w:b/>
      <w:bCs/>
    </w:rPr>
  </w:style>
  <w:style w:type="character" w:styleId="13">
    <w:name w:val="Hyperlink"/>
    <w:basedOn w:val="11"/>
    <w:qFormat/>
    <w:uiPriority w:val="0"/>
    <w:rPr>
      <w:color w:val="0000FF"/>
      <w:u w:val="single"/>
    </w:rPr>
  </w:style>
  <w:style w:type="paragraph" w:customStyle="1" w:styleId="14">
    <w:name w:val="本文正文"/>
    <w:basedOn w:val="1"/>
    <w:qFormat/>
    <w:uiPriority w:val="0"/>
    <w:pPr>
      <w:spacing w:line="360" w:lineRule="auto"/>
      <w:ind w:firstLine="803"/>
    </w:pPr>
    <w:rPr>
      <w:rFonts w:ascii="宋体" w:hAnsi="宋体"/>
      <w:sz w:val="24"/>
    </w:rPr>
  </w:style>
  <w:style w:type="character" w:customStyle="1" w:styleId="15">
    <w:name w:val="页眉 字符"/>
    <w:basedOn w:val="11"/>
    <w:link w:val="7"/>
    <w:qFormat/>
    <w:uiPriority w:val="0"/>
    <w:rPr>
      <w:rFonts w:ascii="Calibri" w:hAnsi="Calibri" w:eastAsia="仿宋_GB2312"/>
      <w:kern w:val="2"/>
      <w:sz w:val="18"/>
      <w:szCs w:val="18"/>
    </w:rPr>
  </w:style>
  <w:style w:type="character" w:customStyle="1" w:styleId="16">
    <w:name w:val="页脚 字符"/>
    <w:basedOn w:val="11"/>
    <w:link w:val="6"/>
    <w:qFormat/>
    <w:uiPriority w:val="0"/>
    <w:rPr>
      <w:rFonts w:ascii="Calibri" w:hAnsi="Calibri" w:eastAsia="仿宋_GB2312"/>
      <w:kern w:val="2"/>
      <w:sz w:val="18"/>
      <w:szCs w:val="18"/>
    </w:rPr>
  </w:style>
  <w:style w:type="character" w:customStyle="1" w:styleId="17">
    <w:name w:val="标题 2 字符"/>
    <w:basedOn w:val="11"/>
    <w:link w:val="4"/>
    <w:semiHidden/>
    <w:qFormat/>
    <w:uiPriority w:val="0"/>
    <w:rPr>
      <w:rFonts w:asciiTheme="majorHAnsi" w:hAnsiTheme="majorHAnsi" w:eastAsiaTheme="majorEastAsia" w:cstheme="majorBidi"/>
      <w:b/>
      <w:bCs/>
      <w:kern w:val="2"/>
      <w:sz w:val="32"/>
      <w:szCs w:val="32"/>
    </w:rPr>
  </w:style>
  <w:style w:type="paragraph" w:customStyle="1" w:styleId="18">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27</TotalTime>
  <ScaleCrop>false</ScaleCrop>
  <LinksUpToDate>false</LinksUpToDate>
  <CharactersWithSpaces>4018</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2021-07-30T02:34:26Z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2BCBADEB164F420AB7CA92621D404113</vt:lpwstr>
  </property>
</Properties>
</file>