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20</w:t>
      </w: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19</w:t>
      </w: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年度区级彩票公益金项目基本情况表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</w:p>
    <w:tbl>
      <w:tblPr>
        <w:tblStyle w:val="4"/>
        <w:tblW w:w="8364" w:type="dxa"/>
        <w:tblInd w:w="-6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908"/>
        <w:gridCol w:w="1484"/>
        <w:gridCol w:w="1673"/>
        <w:gridCol w:w="654"/>
        <w:gridCol w:w="830"/>
        <w:gridCol w:w="28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529" w:hRule="atLeast"/>
        </w:trPr>
        <w:tc>
          <w:tcPr>
            <w:tcW w:w="908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项目实施单位</w:t>
            </w:r>
          </w:p>
        </w:tc>
        <w:tc>
          <w:tcPr>
            <w:tcW w:w="3157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深圳市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龙华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区卫生健康局</w:t>
            </w:r>
          </w:p>
        </w:tc>
        <w:tc>
          <w:tcPr>
            <w:tcW w:w="654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项目名称</w:t>
            </w:r>
          </w:p>
        </w:tc>
        <w:tc>
          <w:tcPr>
            <w:tcW w:w="3645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“幸福老人”计划资助项目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396" w:hRule="atLeast"/>
        </w:trPr>
        <w:tc>
          <w:tcPr>
            <w:tcW w:w="908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项目单位责任人</w:t>
            </w:r>
          </w:p>
        </w:tc>
        <w:tc>
          <w:tcPr>
            <w:tcW w:w="3157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冯程程</w:t>
            </w:r>
          </w:p>
        </w:tc>
        <w:tc>
          <w:tcPr>
            <w:tcW w:w="654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联络人及联系方式</w:t>
            </w:r>
          </w:p>
        </w:tc>
        <w:tc>
          <w:tcPr>
            <w:tcW w:w="3645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赵书花 23336333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restart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项目资金（万元）</w:t>
            </w:r>
          </w:p>
        </w:tc>
        <w:tc>
          <w:tcPr>
            <w:tcW w:w="1484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资金来源</w:t>
            </w:r>
          </w:p>
        </w:tc>
        <w:tc>
          <w:tcPr>
            <w:tcW w:w="1673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福彩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公益金</w:t>
            </w:r>
          </w:p>
        </w:tc>
        <w:tc>
          <w:tcPr>
            <w:tcW w:w="1484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资金下达数（万元）</w:t>
            </w:r>
          </w:p>
        </w:tc>
        <w:tc>
          <w:tcPr>
            <w:tcW w:w="2815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  <w:t>46.76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84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实际支出（万元）</w:t>
            </w:r>
          </w:p>
        </w:tc>
        <w:tc>
          <w:tcPr>
            <w:tcW w:w="1673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45.4669</w:t>
            </w:r>
          </w:p>
        </w:tc>
        <w:tc>
          <w:tcPr>
            <w:tcW w:w="1484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其中：彩票公益金支出（万元）</w:t>
            </w:r>
          </w:p>
        </w:tc>
        <w:tc>
          <w:tcPr>
            <w:tcW w:w="2815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0" w:hRule="atLeast"/>
        </w:trPr>
        <w:tc>
          <w:tcPr>
            <w:tcW w:w="908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84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资金是否结余</w:t>
            </w:r>
          </w:p>
        </w:tc>
        <w:tc>
          <w:tcPr>
            <w:tcW w:w="1673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是</w:t>
            </w:r>
          </w:p>
        </w:tc>
        <w:tc>
          <w:tcPr>
            <w:tcW w:w="1484" w:type="dxa"/>
            <w:gridSpan w:val="2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结余处理</w:t>
            </w:r>
          </w:p>
        </w:tc>
        <w:tc>
          <w:tcPr>
            <w:tcW w:w="2815" w:type="dxa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财政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回收</w:t>
            </w:r>
            <w:bookmarkStart w:id="0" w:name="_GoBack"/>
            <w:bookmarkEnd w:id="0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restart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目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内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容</w:t>
            </w: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default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项目概况，周期，实施内容：丰富老年人的精神文化生活，激发老年人积极参与社会活动的热情，动员社会各界从自身做起，从小事做起，为老年人办实事、做好事，不断增强老年人的获得感和幸福感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我区资助全区老年组织开展老年人活动。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项目逐年实施，本年度实施时间为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2019年1月1日至12月31日。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项目完成情况：开展“浓浓重阳敬老情 趣味竞技夕阳红”趣味运动会、“情暖金秋，爱在重阳”文艺晚会、“长者嘉年华，金秋游园会”三项活动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获得了老年人的一致认可，增强了老年人体质，进一步促进老年人家庭和睦，推动社区和谐建设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资金使用情况：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该资金为区级资金项目，45.4669万元均用于开展趣味运动会、文艺晚会及游园会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实际效果：通过老年人文体活动的开展，积极宣传老年人事业，展现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老年人的风采，丰富老年人的精神文化生活，增强老年人的体质，提高他们的综合素质，激发老年人积极参与社会的热情，促进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全区老龄事业的发展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restart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目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依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据</w:t>
            </w: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立项依据：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《广东省老龄办 省民政厅转发全国老龄办 民政部关于进一步加强城乡社区老年协会建设的通知》、《关于加强市福彩公益金“幸福老人计划”项目管理的通知》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采购方式：由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区老龄办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牵头，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各街道、社区老年协会及区老年协会具体实施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restart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绩效评价及其他</w:t>
            </w: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绩效评价：丰富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老年人的精神文化生活，增强老年人的体质，提高他们的综合素质，激发老年人积极参与社会的热情，促进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全区老龄事业的发展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审计结果：审计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05" w:type="dxa"/>
            <w:left w:w="105" w:type="dxa"/>
            <w:bottom w:w="105" w:type="dxa"/>
            <w:right w:w="105" w:type="dxa"/>
          </w:tblCellMar>
        </w:tblPrEx>
        <w:tc>
          <w:tcPr>
            <w:tcW w:w="908" w:type="dxa"/>
            <w:vMerge w:val="continue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456" w:type="dxa"/>
            <w:gridSpan w:val="5"/>
            <w:tcBorders>
              <w:top w:val="single" w:color="E5E5E5" w:sz="4" w:space="0"/>
              <w:left w:val="single" w:color="E5E5E5" w:sz="4" w:space="0"/>
              <w:bottom w:val="single" w:color="E5E5E5" w:sz="4" w:space="0"/>
              <w:right w:val="single" w:color="E5E5E5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9"/>
                <w:szCs w:val="19"/>
              </w:rPr>
              <w:t>是否接受投诉及其他：未接受投诉</w:t>
            </w:r>
          </w:p>
        </w:tc>
      </w:tr>
    </w:tbl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14"/>
          <w:szCs w:val="14"/>
          <w:bdr w:val="single" w:color="FFFFFF" w:sz="2" w:space="0"/>
          <w:shd w:val="clear" w:fill="8EE8FF"/>
          <w:lang w:val="en-US" w:eastAsia="zh-CN" w:bidi="ar"/>
        </w:rPr>
      </w:pPr>
    </w:p>
    <w:p>
      <w:r>
        <w:drawing>
          <wp:inline distT="0" distB="0" distL="114300" distR="114300">
            <wp:extent cx="4895215" cy="3530600"/>
            <wp:effectExtent l="0" t="0" r="635" b="1270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5215" cy="353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114300" distR="114300">
            <wp:extent cx="4826000" cy="2418715"/>
            <wp:effectExtent l="0" t="0" r="12700" b="635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6000" cy="2418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4779010" cy="2313940"/>
            <wp:effectExtent l="0" t="0" r="2540" b="10160"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9439" cy="2313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723765" cy="3759200"/>
            <wp:effectExtent l="0" t="0" r="635" b="1270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24399" cy="375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86FD9"/>
    <w:rsid w:val="14AD091A"/>
    <w:rsid w:val="18586944"/>
    <w:rsid w:val="45627C66"/>
    <w:rsid w:val="45C25BFD"/>
    <w:rsid w:val="49886AAB"/>
    <w:rsid w:val="4FF86FD9"/>
    <w:rsid w:val="719B1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autoSpaceDE w:val="0"/>
      <w:autoSpaceDN w:val="0"/>
      <w:adjustRightInd w:val="0"/>
      <w:spacing w:beforeLines="100" w:afterLines="100"/>
      <w:jc w:val="left"/>
      <w:outlineLvl w:val="0"/>
    </w:pPr>
    <w:rPr>
      <w:rFonts w:cs="Times New Roman"/>
      <w:b/>
      <w:color w:val="000000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2021-06-25T03:04:00Z</dcterms:created>
  <dc:creator>zcx</dc:creator>
  <cp:lastModifiedBy>yau wing yee</cp:lastModifiedBy>
  <dcterms:modified xsi:type="dcterms:W3CDTF">2021-06-30T06:33:39Z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