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b w:val="0"/>
          <w:bCs w:val="0"/>
          <w:kern w:val="2"/>
          <w:sz w:val="32"/>
          <w:szCs w:val="32"/>
          <w:lang w:val="en-US" w:eastAsia="zh-CN"/>
        </w:rPr>
      </w:pPr>
      <w:bookmarkStart w:id="0" w:name="_GoBack"/>
      <w:bookmarkEnd w:id="0"/>
      <w:r>
        <w:rPr>
          <w:rFonts w:hint="eastAsia" w:ascii="黑体" w:hAnsi="黑体" w:eastAsia="黑体" w:cs="黑体"/>
          <w:b w:val="0"/>
          <w:bCs w:val="0"/>
          <w:kern w:val="2"/>
          <w:sz w:val="32"/>
          <w:szCs w:val="32"/>
          <w:lang w:val="en-US" w:eastAsia="zh-CN"/>
        </w:rPr>
        <w:t>附件4</w:t>
      </w:r>
    </w:p>
    <w:p>
      <w:pPr>
        <w:jc w:val="center"/>
        <w:rPr>
          <w:rFonts w:hint="eastAsia" w:ascii="宋体" w:hAnsi="宋体" w:eastAsia="宋体" w:cs="宋体"/>
          <w:b/>
          <w:bCs/>
          <w:color w:val="000000"/>
          <w:spacing w:val="-16"/>
          <w:sz w:val="32"/>
          <w:szCs w:val="32"/>
          <w:lang w:eastAsia="zh-CN"/>
        </w:rPr>
      </w:pPr>
      <w:r>
        <w:rPr>
          <w:rFonts w:hint="eastAsia" w:ascii="宋体" w:hAnsi="宋体" w:eastAsia="宋体" w:cs="宋体"/>
          <w:b/>
          <w:bCs/>
          <w:color w:val="000000"/>
          <w:spacing w:val="-16"/>
          <w:sz w:val="32"/>
          <w:szCs w:val="32"/>
          <w:lang w:eastAsia="zh-CN"/>
        </w:rPr>
        <w:t>不合格项目的危害及原因分析</w:t>
      </w:r>
    </w:p>
    <w:tbl>
      <w:tblPr>
        <w:tblStyle w:val="3"/>
        <w:tblW w:w="13962" w:type="dxa"/>
        <w:tblInd w:w="93" w:type="dxa"/>
        <w:shd w:val="clear" w:color="auto" w:fill="auto"/>
        <w:tblLayout w:type="autofit"/>
        <w:tblCellMar>
          <w:top w:w="0" w:type="dxa"/>
          <w:left w:w="108" w:type="dxa"/>
          <w:bottom w:w="0" w:type="dxa"/>
          <w:right w:w="108" w:type="dxa"/>
        </w:tblCellMar>
      </w:tblPr>
      <w:tblGrid>
        <w:gridCol w:w="2730"/>
        <w:gridCol w:w="4755"/>
        <w:gridCol w:w="6477"/>
      </w:tblGrid>
      <w:tr>
        <w:tblPrEx>
          <w:shd w:val="clear" w:color="auto" w:fill="auto"/>
          <w:tblCellMar>
            <w:top w:w="0" w:type="dxa"/>
            <w:left w:w="108" w:type="dxa"/>
            <w:bottom w:w="0" w:type="dxa"/>
            <w:right w:w="108" w:type="dxa"/>
          </w:tblCellMar>
        </w:tblPrEx>
        <w:trPr>
          <w:trHeight w:val="579" w:hRule="atLeast"/>
        </w:trPr>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bCs/>
                <w:i w:val="0"/>
                <w:iCs w:val="0"/>
                <w:color w:val="000000"/>
                <w:sz w:val="24"/>
                <w:szCs w:val="24"/>
                <w:u w:val="none"/>
              </w:rPr>
            </w:pPr>
            <w:r>
              <w:rPr>
                <w:rFonts w:hint="eastAsia" w:ascii="黑体" w:hAnsi="黑体" w:eastAsia="黑体" w:cs="黑体"/>
                <w:b/>
                <w:bCs/>
                <w:i w:val="0"/>
                <w:iCs w:val="0"/>
                <w:color w:val="000000"/>
                <w:kern w:val="0"/>
                <w:sz w:val="24"/>
                <w:szCs w:val="24"/>
                <w:u w:val="none"/>
                <w:lang w:val="en-US" w:eastAsia="zh-CN" w:bidi="ar"/>
              </w:rPr>
              <w:t>项目名称</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bCs/>
                <w:i w:val="0"/>
                <w:iCs w:val="0"/>
                <w:color w:val="000000"/>
                <w:sz w:val="24"/>
                <w:szCs w:val="24"/>
                <w:u w:val="none"/>
              </w:rPr>
            </w:pPr>
            <w:r>
              <w:rPr>
                <w:rFonts w:hint="eastAsia" w:ascii="黑体" w:hAnsi="黑体" w:eastAsia="黑体" w:cs="黑体"/>
                <w:b/>
                <w:bCs/>
                <w:i w:val="0"/>
                <w:iCs w:val="0"/>
                <w:color w:val="000000"/>
                <w:kern w:val="0"/>
                <w:sz w:val="24"/>
                <w:szCs w:val="24"/>
                <w:u w:val="none"/>
                <w:lang w:val="en-US" w:eastAsia="zh-CN" w:bidi="ar"/>
              </w:rPr>
              <w:t>不合格项目产生的原因</w:t>
            </w:r>
          </w:p>
        </w:tc>
        <w:tc>
          <w:tcPr>
            <w:tcW w:w="6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bCs/>
                <w:i w:val="0"/>
                <w:iCs w:val="0"/>
                <w:color w:val="000000"/>
                <w:sz w:val="24"/>
                <w:szCs w:val="24"/>
                <w:u w:val="none"/>
              </w:rPr>
            </w:pPr>
            <w:r>
              <w:rPr>
                <w:rFonts w:hint="eastAsia" w:ascii="黑体" w:hAnsi="黑体" w:eastAsia="黑体" w:cs="黑体"/>
                <w:b/>
                <w:bCs/>
                <w:i w:val="0"/>
                <w:iCs w:val="0"/>
                <w:color w:val="000000"/>
                <w:kern w:val="0"/>
                <w:sz w:val="24"/>
                <w:szCs w:val="24"/>
                <w:u w:val="none"/>
                <w:lang w:val="en-US" w:eastAsia="zh-CN" w:bidi="ar"/>
              </w:rPr>
              <w:t>不合格项目的危害</w:t>
            </w:r>
          </w:p>
        </w:tc>
      </w:tr>
      <w:tr>
        <w:tblPrEx>
          <w:tblCellMar>
            <w:top w:w="0" w:type="dxa"/>
            <w:left w:w="108" w:type="dxa"/>
            <w:bottom w:w="0" w:type="dxa"/>
            <w:right w:w="108" w:type="dxa"/>
          </w:tblCellMar>
        </w:tblPrEx>
        <w:trPr>
          <w:trHeight w:val="270" w:hRule="atLeast"/>
        </w:trPr>
        <w:tc>
          <w:tcPr>
            <w:tcW w:w="27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防腐剂（苯甲酸及其钠盐、防腐剂混合使用时各自用量占其最大使用量的比例之和）</w:t>
            </w:r>
          </w:p>
        </w:tc>
        <w:tc>
          <w:tcPr>
            <w:tcW w:w="47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2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防腐剂超范围使用的原因可能是个别企业为防止食品腐败变质、增加产品保质期或者为弥补产品生产中卫生条件不佳而超范围使用了该添加剂，或者使用的复配添加剂中含有该添加剂。</w:t>
            </w:r>
          </w:p>
        </w:tc>
        <w:tc>
          <w:tcPr>
            <w:tcW w:w="64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2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防腐剂是以保持食品原有品质和营养价值为目的的食品添加剂，它能抑制微生物的生长繁殖，防止食品腐败变质从而延长保质期。《食品安全国家标准 食品添加剂使用标准》GB 2760-2014不仅规定了我国在食品中允许添加的某一防腐剂的种类、使用量或残留量，而且规定了同一功能的防腐剂在混合使用时，各自用量占其最大使用量的比例之和不应超过1。在安全使用范围内，防腐剂对人体是无毒害的, 但长期过量摄入会对人体的骨骼生长、肾脏、肝脏健康造成一定影响。</w:t>
            </w:r>
          </w:p>
        </w:tc>
      </w:tr>
      <w:tr>
        <w:tblPrEx>
          <w:tblCellMar>
            <w:top w:w="0" w:type="dxa"/>
            <w:left w:w="108" w:type="dxa"/>
            <w:bottom w:w="0" w:type="dxa"/>
            <w:right w:w="108" w:type="dxa"/>
          </w:tblCellMar>
        </w:tblPrEx>
        <w:trPr>
          <w:trHeight w:val="270" w:hRule="atLeast"/>
        </w:trPr>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7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4"/>
                <w:szCs w:val="24"/>
                <w:u w:val="none"/>
              </w:rPr>
            </w:pPr>
          </w:p>
        </w:tc>
        <w:tc>
          <w:tcPr>
            <w:tcW w:w="64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4"/>
                <w:szCs w:val="24"/>
                <w:u w:val="none"/>
              </w:rPr>
            </w:pPr>
          </w:p>
        </w:tc>
      </w:tr>
      <w:tr>
        <w:tblPrEx>
          <w:tblCellMar>
            <w:top w:w="0" w:type="dxa"/>
            <w:left w:w="108" w:type="dxa"/>
            <w:bottom w:w="0" w:type="dxa"/>
            <w:right w:w="108" w:type="dxa"/>
          </w:tblCellMar>
        </w:tblPrEx>
        <w:trPr>
          <w:trHeight w:val="270" w:hRule="atLeast"/>
        </w:trPr>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7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4"/>
                <w:szCs w:val="24"/>
                <w:u w:val="none"/>
              </w:rPr>
            </w:pPr>
          </w:p>
        </w:tc>
        <w:tc>
          <w:tcPr>
            <w:tcW w:w="64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4"/>
                <w:szCs w:val="24"/>
                <w:u w:val="none"/>
              </w:rPr>
            </w:pPr>
          </w:p>
        </w:tc>
      </w:tr>
      <w:tr>
        <w:tblPrEx>
          <w:tblCellMar>
            <w:top w:w="0" w:type="dxa"/>
            <w:left w:w="108" w:type="dxa"/>
            <w:bottom w:w="0" w:type="dxa"/>
            <w:right w:w="108" w:type="dxa"/>
          </w:tblCellMar>
        </w:tblPrEx>
        <w:trPr>
          <w:trHeight w:val="270" w:hRule="atLeast"/>
        </w:trPr>
        <w:tc>
          <w:tcPr>
            <w:tcW w:w="27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甜味剂（糖精钠、甜蜜素）</w:t>
            </w:r>
          </w:p>
        </w:tc>
        <w:tc>
          <w:tcPr>
            <w:tcW w:w="47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2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甜味剂不合格的原因可能是由于这两种甜味剂的成本较低，并且可以混合使用，以掩盖糖精的不良味觉，使产品风味效果更好。此外，在生产经营活动中，少数企业为了片面追求产品的甜度，违规使用过量甜味剂。</w:t>
            </w:r>
          </w:p>
        </w:tc>
        <w:tc>
          <w:tcPr>
            <w:tcW w:w="64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甜味剂是指能赋予软饮料甜味的食品添加剂。甜味剂种类较多，可分为：按其来源可分为天然甜味剂和人工合成甜味剂；按其营养价值分为营养性甜味剂和非营养性甜味剂。糖精钠和甜蜜素属于人工合成非营养型甜味剂，非营养型甜味剂对人体无营养价值。当食用较多糖精钠时，会影响肠胃消化酶的正常分泌，降低小肠的吸收能力，使食欲减退；经常食用甜蜜素含量超标的饮料或其他食品，可能会因摄入过量对人体的肝脏和神经系统造成危害，特别是对代谢排毒能力较弱的老人、孕妇、小孩危害更明显。使用规范的食品添加剂对人体没有坏处，但是，长期过量摄入亦会对人的身体健康造成一定损害。</w:t>
            </w:r>
          </w:p>
        </w:tc>
      </w:tr>
      <w:tr>
        <w:tblPrEx>
          <w:shd w:val="clear" w:color="auto" w:fill="auto"/>
          <w:tblCellMar>
            <w:top w:w="0" w:type="dxa"/>
            <w:left w:w="108" w:type="dxa"/>
            <w:bottom w:w="0" w:type="dxa"/>
            <w:right w:w="108" w:type="dxa"/>
          </w:tblCellMar>
        </w:tblPrEx>
        <w:trPr>
          <w:trHeight w:val="270" w:hRule="atLeast"/>
        </w:trPr>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7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4"/>
                <w:szCs w:val="24"/>
                <w:u w:val="none"/>
              </w:rPr>
            </w:pPr>
          </w:p>
        </w:tc>
        <w:tc>
          <w:tcPr>
            <w:tcW w:w="64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4"/>
                <w:szCs w:val="24"/>
                <w:u w:val="none"/>
              </w:rPr>
            </w:pPr>
          </w:p>
        </w:tc>
      </w:tr>
      <w:tr>
        <w:tblPrEx>
          <w:tblCellMar>
            <w:top w:w="0" w:type="dxa"/>
            <w:left w:w="108" w:type="dxa"/>
            <w:bottom w:w="0" w:type="dxa"/>
            <w:right w:w="108" w:type="dxa"/>
          </w:tblCellMar>
        </w:tblPrEx>
        <w:trPr>
          <w:trHeight w:val="270" w:hRule="atLeast"/>
        </w:trPr>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7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4"/>
                <w:szCs w:val="24"/>
                <w:u w:val="none"/>
              </w:rPr>
            </w:pPr>
          </w:p>
        </w:tc>
        <w:tc>
          <w:tcPr>
            <w:tcW w:w="64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4"/>
                <w:szCs w:val="24"/>
                <w:u w:val="none"/>
              </w:rPr>
            </w:pPr>
          </w:p>
        </w:tc>
      </w:tr>
      <w:tr>
        <w:tblPrEx>
          <w:tblCellMar>
            <w:top w:w="0" w:type="dxa"/>
            <w:left w:w="108" w:type="dxa"/>
            <w:bottom w:w="0" w:type="dxa"/>
            <w:right w:w="108" w:type="dxa"/>
          </w:tblCellMar>
        </w:tblPrEx>
        <w:trPr>
          <w:trHeight w:val="3705" w:hRule="atLeast"/>
        </w:trPr>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兽药残留（恩诺沙星、氟苯尼考）</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2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农业部公告第235号《动物性食品中兽药最高残留限量》中规定该类药物在鸡蛋中不得检出。鸡蛋中恩诺沙星残留量不合格可能是因为养殖户不清楚国家政策法规超范围使用兽药，也有可能是鸡吃的饲料带入等。氟苯尼考可用于猪、牛、羊、禽、鱼等，但在产蛋期家禽中禁用，鸡蛋中检出氟苯尼考，可能原因是企业在养殖过程中违规将该兽药用于蛋鸡，因氟苯尼考在家禽体内的代谢慢，容易在鸡肉中残留较长时间，进而传递至鸡蛋中。</w:t>
            </w:r>
          </w:p>
        </w:tc>
        <w:tc>
          <w:tcPr>
            <w:tcW w:w="6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2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诺沙星属于氟喹诺酮类药物，是一类人工合成的广谱抗菌药，用于治疗动物的皮肤感染、呼吸道感染等，是动物专属用药。《动物性食品中兽药最高残留限量》（农业部公告第235号）中规定，恩诺沙星（以恩诺沙星和环丙沙星之和计）可用于牛、羊、猪、兔、禽等食用畜禽及其他动物，在其他动物的肌肉及脂肪中的最高残留限量为100μg/kg，在产蛋鸡中禁用（鸡蛋中不得检出）。长期食用恩诺沙星残留超标的食品，对人体健康有一定影响。氟苯尼考是一种农业部批准使用的动物专用抗菌药，用于敏感细菌所致的猪、鸡、鱼的细菌性疾病，尤其对呼吸系统感染和肠道感染疗效明显，但产蛋家禽禁止使用氟苯尼考。长期食用氟苯尼考残留的鸡蛋，人体会产生一定的过敏反应,而且会在体内产生抗药性。</w:t>
            </w:r>
          </w:p>
        </w:tc>
      </w:tr>
      <w:tr>
        <w:tblPrEx>
          <w:shd w:val="clear" w:color="auto" w:fill="auto"/>
          <w:tblCellMar>
            <w:top w:w="0" w:type="dxa"/>
            <w:left w:w="108" w:type="dxa"/>
            <w:bottom w:w="0" w:type="dxa"/>
            <w:right w:w="108" w:type="dxa"/>
          </w:tblCellMar>
        </w:tblPrEx>
        <w:trPr>
          <w:trHeight w:val="270" w:hRule="atLeast"/>
        </w:trPr>
        <w:tc>
          <w:tcPr>
            <w:tcW w:w="27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镉</w:t>
            </w:r>
          </w:p>
        </w:tc>
        <w:tc>
          <w:tcPr>
            <w:tcW w:w="47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2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《食品安全国家标准食品中污染物限量》（GB 2762—2017）中规定，镉（以Cd计）在鲜、冻水产动物的甲壳类中最大限量为0.5mg/kg。水产品中镉（以Cd计）超标可能是水产品养殖过程中对环境中镉元素的富集。</w:t>
            </w:r>
          </w:p>
        </w:tc>
        <w:tc>
          <w:tcPr>
            <w:tcW w:w="64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2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镉（以Cd计）是最常见的重金属元素污染物之一。镉对人体的危害主要是慢性蓄积性，长期大量摄入镉含量超标的食品可能导致肾和骨骼损伤等。</w:t>
            </w:r>
          </w:p>
        </w:tc>
      </w:tr>
      <w:tr>
        <w:tblPrEx>
          <w:tblCellMar>
            <w:top w:w="0" w:type="dxa"/>
            <w:left w:w="108" w:type="dxa"/>
            <w:bottom w:w="0" w:type="dxa"/>
            <w:right w:w="108" w:type="dxa"/>
          </w:tblCellMar>
        </w:tblPrEx>
        <w:trPr>
          <w:trHeight w:val="270" w:hRule="atLeast"/>
        </w:trPr>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7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64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CellMar>
            <w:top w:w="0" w:type="dxa"/>
            <w:left w:w="108" w:type="dxa"/>
            <w:bottom w:w="0" w:type="dxa"/>
            <w:right w:w="108" w:type="dxa"/>
          </w:tblCellMar>
        </w:tblPrEx>
        <w:trPr>
          <w:trHeight w:val="270" w:hRule="atLeast"/>
        </w:trPr>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7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64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bl>
    <w:p>
      <w:pPr>
        <w:jc w:val="center"/>
        <w:rPr>
          <w:rFonts w:hint="eastAsia" w:ascii="宋体" w:hAnsi="宋体" w:eastAsia="宋体" w:cs="宋体"/>
          <w:b/>
          <w:bCs/>
          <w:color w:val="000000"/>
          <w:spacing w:val="-16"/>
          <w:sz w:val="32"/>
          <w:szCs w:val="32"/>
          <w:lang w:val="en-US" w:eastAsia="zh-CN"/>
        </w:rPr>
      </w:pPr>
    </w:p>
    <w:p>
      <w:pPr>
        <w:jc w:val="center"/>
        <w:rPr>
          <w:rFonts w:hint="default" w:ascii="宋体" w:hAnsi="宋体" w:eastAsia="宋体" w:cs="宋体"/>
          <w:b/>
          <w:bCs/>
          <w:kern w:val="2"/>
          <w:sz w:val="32"/>
          <w:szCs w:val="32"/>
          <w:lang w:val="en-US" w:eastAsia="zh-CN"/>
        </w:rPr>
      </w:pPr>
    </w:p>
    <w:sectPr>
      <w:pgSz w:w="16838" w:h="11906" w:orient="landscape"/>
      <w:pgMar w:top="1474" w:right="1440" w:bottom="1803"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B424AB"/>
    <w:rsid w:val="16D644D4"/>
    <w:rsid w:val="2AE54106"/>
    <w:rsid w:val="33CD1D1B"/>
    <w:rsid w:val="400168D4"/>
    <w:rsid w:val="4794700D"/>
    <w:rsid w:val="5FBF749C"/>
    <w:rsid w:val="5FC44C79"/>
    <w:rsid w:val="6724390F"/>
    <w:rsid w:val="6BB424AB"/>
    <w:rsid w:val="6D62703A"/>
    <w:rsid w:val="6EB90194"/>
    <w:rsid w:val="7DE670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keepNext/>
      <w:keepLines/>
      <w:spacing w:before="50" w:beforeLines="50" w:after="50" w:afterLines="50" w:line="560" w:lineRule="exact"/>
      <w:ind w:firstLine="640" w:firstLineChars="200"/>
      <w:outlineLvl w:val="2"/>
    </w:pPr>
    <w:rPr>
      <w:b/>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2021-06-21T02:54:00Z</dcterms:created>
  <dc:creator>Healer</dc:creator>
  <cp:lastModifiedBy>Healer</cp:lastModifiedBy>
  <dcterms:modified xsi:type="dcterms:W3CDTF">2021-06-23T03:11:48Z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A07451EC05FC4E09B44C29DD664FF49A</vt:lpwstr>
  </property>
</Properties>
</file>