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黑体" w:hAnsi="黑体" w:eastAsia="黑体" w:cs="Arial"/>
          <w:kern w:val="0"/>
          <w:szCs w:val="32"/>
          <w:lang w:eastAsia="zh-CN"/>
        </w:rPr>
      </w:pPr>
      <w:r>
        <w:rPr>
          <w:rFonts w:hint="eastAsia" w:ascii="黑体" w:hAnsi="黑体" w:eastAsia="黑体" w:cs="Arial"/>
          <w:kern w:val="0"/>
          <w:szCs w:val="32"/>
        </w:rPr>
        <w:t>附件</w:t>
      </w:r>
      <w:r>
        <w:rPr>
          <w:rFonts w:hint="eastAsia" w:ascii="黑体" w:hAnsi="黑体" w:eastAsia="黑体" w:cs="Arial"/>
          <w:kern w:val="0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32"/>
        <w:jc w:val="center"/>
        <w:textAlignment w:val="auto"/>
        <w:rPr>
          <w:rFonts w:ascii="方正小标宋简体" w:hAnsi="方正小标宋简体" w:eastAsia="方正小标宋简体" w:cs="方正小标宋简体"/>
          <w:spacing w:val="-12"/>
          <w:sz w:val="44"/>
          <w:szCs w:val="44"/>
        </w:rPr>
      </w:pPr>
      <w:r>
        <w:rPr>
          <w:rFonts w:hint="eastAsia" w:ascii="华文中宋" w:hAnsi="华文中宋" w:eastAsia="华文中宋" w:cs="华文中宋"/>
          <w:spacing w:val="-12"/>
          <w:sz w:val="44"/>
          <w:szCs w:val="44"/>
        </w:rPr>
        <w:t>部分不合格项目小知识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640" w:firstLine="480"/>
        <w:textAlignment w:val="auto"/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/>
        <w:textAlignment w:val="auto"/>
        <w:rPr>
          <w:rFonts w:ascii="黑体" w:hAnsi="黑体" w:eastAsia="黑体" w:cs="黑体"/>
          <w:b w:val="0"/>
          <w:bCs w:val="0"/>
          <w:szCs w:val="32"/>
        </w:rPr>
      </w:pPr>
      <w:r>
        <w:rPr>
          <w:rFonts w:hint="eastAsia" w:ascii="黑体" w:hAnsi="黑体" w:eastAsia="黑体" w:cs="黑体"/>
          <w:b w:val="0"/>
          <w:bCs w:val="0"/>
          <w:szCs w:val="32"/>
        </w:rPr>
        <w:t>一、不合格项目小知识</w:t>
      </w:r>
    </w:p>
    <w:p>
      <w:pPr>
        <w:spacing w:line="560" w:lineRule="exact"/>
        <w:ind w:firstLine="482" w:firstLineChars="150"/>
        <w:rPr>
          <w:rFonts w:ascii="楷体_GB2312" w:hAnsi="楷体" w:eastAsia="楷体_GB2312" w:cs="仿宋_GB2312"/>
          <w:b/>
          <w:sz w:val="32"/>
          <w:szCs w:val="32"/>
        </w:rPr>
      </w:pPr>
      <w:r>
        <w:rPr>
          <w:rFonts w:hint="eastAsia" w:ascii="楷体_GB2312" w:hAnsi="楷体" w:eastAsia="楷体_GB2312" w:cs="仿宋_GB2312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仿宋_GB2312"/>
          <w:b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一</w:t>
      </w:r>
      <w:r>
        <w:rPr>
          <w:rFonts w:hint="eastAsia" w:ascii="楷体_GB2312" w:hAnsi="楷体" w:eastAsia="楷体_GB2312" w:cs="仿宋_GB2312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楷体_GB2312" w:hAnsi="楷体" w:eastAsia="楷体_GB2312" w:cs="仿宋_GB2312"/>
          <w:b/>
          <w:sz w:val="32"/>
          <w:szCs w:val="32"/>
        </w:rPr>
        <w:t>大肠菌群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ascii="仿宋_GB2312" w:hAnsi="仿宋" w:eastAsia="仿宋_GB2312"/>
          <w:sz w:val="32"/>
          <w:szCs w:val="32"/>
        </w:rPr>
        <w:t>大肠菌群是国内外通用的食品污染常用指示菌之一。食品中检出大肠菌群，提示被致病菌（如沙门氏菌、志贺氏菌、致病性大肠杆菌）污染的可能性较大。《食品安全国家标准 熟肉制品》（GB 2726-2016）中规定，从一批产品中采集5个样品，若5个样品的检验结果均小于或等于m值（≤</w:t>
      </w:r>
      <w:r>
        <w:rPr>
          <w:rFonts w:hint="eastAsia" w:ascii="仿宋_GB2312" w:hAnsi="仿宋" w:eastAsia="仿宋_GB2312"/>
          <w:color w:val="000000"/>
          <w:sz w:val="32"/>
          <w:szCs w:val="32"/>
        </w:rPr>
        <w:t>10</w:t>
      </w:r>
      <w:r>
        <w:rPr>
          <w:rFonts w:hint="eastAsia" w:ascii="仿宋_GB2312" w:hAnsi="仿宋" w:eastAsia="仿宋_GB2312"/>
          <w:sz w:val="32"/>
          <w:szCs w:val="32"/>
        </w:rPr>
        <w:t>CFU/g），则这种情况是允许的；若≤2个样品的结果（X）位于m值和M值之间（</w:t>
      </w:r>
      <w:r>
        <w:rPr>
          <w:rFonts w:hint="eastAsia" w:ascii="仿宋_GB2312" w:hAnsi="仿宋" w:eastAsia="仿宋_GB2312"/>
          <w:color w:val="000000"/>
          <w:sz w:val="32"/>
          <w:szCs w:val="32"/>
        </w:rPr>
        <w:t>10</w:t>
      </w:r>
      <w:r>
        <w:rPr>
          <w:rFonts w:hint="eastAsia" w:ascii="仿宋_GB2312" w:hAnsi="仿宋" w:eastAsia="仿宋_GB2312"/>
          <w:sz w:val="32"/>
          <w:szCs w:val="32"/>
        </w:rPr>
        <w:t>CFU/g＜X≤</w:t>
      </w:r>
      <w:r>
        <w:rPr>
          <w:rFonts w:hint="eastAsia" w:ascii="仿宋_GB2312" w:hAnsi="仿宋" w:eastAsia="仿宋_GB2312"/>
          <w:color w:val="000000"/>
          <w:sz w:val="32"/>
          <w:szCs w:val="32"/>
        </w:rPr>
        <w:t>10</w:t>
      </w:r>
      <w:r>
        <w:rPr>
          <w:rFonts w:hint="eastAsia" w:ascii="仿宋_GB2312" w:hAnsi="仿宋" w:eastAsia="仿宋_GB2312"/>
          <w:color w:val="000000"/>
          <w:sz w:val="32"/>
          <w:szCs w:val="32"/>
          <w:vertAlign w:val="superscript"/>
        </w:rPr>
        <w:t>2</w:t>
      </w:r>
      <w:r>
        <w:rPr>
          <w:rFonts w:hint="eastAsia" w:ascii="仿宋_GB2312" w:hAnsi="仿宋" w:eastAsia="仿宋_GB2312"/>
          <w:sz w:val="32"/>
          <w:szCs w:val="32"/>
        </w:rPr>
        <w:t>CFU/g）,则这种情况也是允许的；若有3个及以上的样品检验结果位于m值和M值之间，则这种情况是不允许的；若有任一样品的检验结果大于M值（＞</w:t>
      </w:r>
      <w:r>
        <w:rPr>
          <w:rFonts w:hint="eastAsia" w:ascii="仿宋_GB2312" w:hAnsi="仿宋" w:eastAsia="仿宋_GB2312"/>
          <w:color w:val="000000"/>
          <w:sz w:val="32"/>
          <w:szCs w:val="32"/>
        </w:rPr>
        <w:t>10</w:t>
      </w:r>
      <w:r>
        <w:rPr>
          <w:rFonts w:hint="eastAsia" w:ascii="仿宋_GB2312" w:hAnsi="仿宋" w:eastAsia="仿宋_GB2312"/>
          <w:color w:val="000000"/>
          <w:sz w:val="32"/>
          <w:szCs w:val="32"/>
          <w:vertAlign w:val="superscript"/>
        </w:rPr>
        <w:t>2</w:t>
      </w:r>
      <w:r>
        <w:rPr>
          <w:rFonts w:hint="eastAsia" w:ascii="仿宋_GB2312" w:hAnsi="仿宋" w:eastAsia="仿宋_GB2312"/>
          <w:sz w:val="32"/>
          <w:szCs w:val="32"/>
        </w:rPr>
        <w:t>CFU/g），则这种情况也是不允许的。《食品安全国家标准 冲调谷物制品》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（</w:t>
      </w:r>
      <w:r>
        <w:rPr>
          <w:rFonts w:hint="eastAsia" w:ascii="仿宋_GB2312" w:hAnsi="仿宋" w:eastAsia="仿宋_GB2312"/>
          <w:sz w:val="32"/>
          <w:szCs w:val="32"/>
        </w:rPr>
        <w:t>GB 19640-2016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）</w:t>
      </w:r>
      <w:r>
        <w:rPr>
          <w:rFonts w:hint="eastAsia" w:ascii="仿宋_GB2312" w:hAnsi="仿宋" w:eastAsia="仿宋_GB2312"/>
          <w:sz w:val="32"/>
          <w:szCs w:val="32"/>
        </w:rPr>
        <w:t>中规定，从一批产品中采集5个样品，若5个样品的检验结果均小于或等于m值（≤</w:t>
      </w:r>
      <w:r>
        <w:rPr>
          <w:rFonts w:hint="eastAsia" w:ascii="仿宋_GB2312" w:hAnsi="仿宋" w:eastAsia="仿宋_GB2312"/>
          <w:color w:val="000000"/>
          <w:sz w:val="32"/>
          <w:szCs w:val="32"/>
        </w:rPr>
        <w:t>10</w:t>
      </w:r>
      <w:r>
        <w:rPr>
          <w:rFonts w:hint="eastAsia" w:ascii="仿宋_GB2312" w:hAnsi="仿宋" w:eastAsia="仿宋_GB2312"/>
          <w:sz w:val="32"/>
          <w:szCs w:val="32"/>
        </w:rPr>
        <w:t>CFU/g），则这种情况是允许的；若≤2个样品的结果（X）位于m值和M值之间（</w:t>
      </w:r>
      <w:r>
        <w:rPr>
          <w:rFonts w:hint="eastAsia" w:ascii="仿宋_GB2312" w:hAnsi="仿宋" w:eastAsia="仿宋_GB2312"/>
          <w:color w:val="000000"/>
          <w:sz w:val="32"/>
          <w:szCs w:val="32"/>
        </w:rPr>
        <w:t>10</w:t>
      </w:r>
      <w:r>
        <w:rPr>
          <w:rFonts w:hint="eastAsia" w:ascii="仿宋_GB2312" w:hAnsi="仿宋" w:eastAsia="仿宋_GB2312"/>
          <w:sz w:val="32"/>
          <w:szCs w:val="32"/>
        </w:rPr>
        <w:t>CFU/g＜X≤</w:t>
      </w:r>
      <w:r>
        <w:rPr>
          <w:rFonts w:hint="eastAsia" w:ascii="仿宋_GB2312" w:hAnsi="仿宋" w:eastAsia="仿宋_GB2312"/>
          <w:color w:val="000000"/>
          <w:sz w:val="32"/>
          <w:szCs w:val="32"/>
        </w:rPr>
        <w:t>10</w:t>
      </w:r>
      <w:r>
        <w:rPr>
          <w:rFonts w:hint="eastAsia" w:ascii="仿宋_GB2312" w:hAnsi="仿宋" w:eastAsia="仿宋_GB2312"/>
          <w:color w:val="000000"/>
          <w:sz w:val="32"/>
          <w:szCs w:val="32"/>
          <w:vertAlign w:val="superscript"/>
        </w:rPr>
        <w:t>2</w:t>
      </w:r>
      <w:r>
        <w:rPr>
          <w:rFonts w:hint="eastAsia" w:ascii="仿宋_GB2312" w:hAnsi="仿宋" w:eastAsia="仿宋_GB2312"/>
          <w:sz w:val="32"/>
          <w:szCs w:val="32"/>
        </w:rPr>
        <w:t>CFU/g）,则这种情况也是允许的；若有3个及以上的样品检验结果位于m值和M值之间，则这种情况是不允许的；若有任一样品的检验结果大于M值（＞</w:t>
      </w:r>
      <w:r>
        <w:rPr>
          <w:rFonts w:hint="eastAsia" w:ascii="仿宋_GB2312" w:hAnsi="仿宋" w:eastAsia="仿宋_GB2312"/>
          <w:color w:val="000000"/>
          <w:sz w:val="32"/>
          <w:szCs w:val="32"/>
        </w:rPr>
        <w:t>10</w:t>
      </w:r>
      <w:r>
        <w:rPr>
          <w:rFonts w:hint="eastAsia" w:ascii="仿宋_GB2312" w:hAnsi="仿宋" w:eastAsia="仿宋_GB2312"/>
          <w:color w:val="000000"/>
          <w:sz w:val="32"/>
          <w:szCs w:val="32"/>
          <w:vertAlign w:val="superscript"/>
        </w:rPr>
        <w:t>2</w:t>
      </w:r>
      <w:r>
        <w:rPr>
          <w:rFonts w:hint="eastAsia" w:ascii="仿宋_GB2312" w:hAnsi="仿宋" w:eastAsia="仿宋_GB2312"/>
          <w:sz w:val="32"/>
          <w:szCs w:val="32"/>
        </w:rPr>
        <w:t>CFU/g），则这种情况也是不允许的。</w:t>
      </w:r>
      <w:r>
        <w:rPr>
          <w:rFonts w:hint="eastAsia" w:ascii="仿宋_GB2312" w:hAnsi="仿宋" w:eastAsia="仿宋_GB2312" w:cs="宋体"/>
          <w:sz w:val="32"/>
          <w:szCs w:val="32"/>
        </w:rPr>
        <w:t>食品中检出大肠菌群不合格提示食品可能受到肠道致病菌污染，人食用后可能会出现呕吐、腹泻等消化道症状。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2" w:firstLineChars="150"/>
        <w:textAlignment w:val="auto"/>
        <w:rPr>
          <w:rFonts w:ascii="楷体_GB2312" w:hAnsi="楷体" w:eastAsia="楷体_GB2312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仿宋_GB2312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仿宋_GB2312"/>
          <w:b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二</w:t>
      </w:r>
      <w:r>
        <w:rPr>
          <w:rFonts w:hint="eastAsia" w:ascii="楷体_GB2312" w:hAnsi="楷体" w:eastAsia="楷体_GB2312" w:cs="仿宋_GB2312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楷体_GB2312" w:hAnsi="楷体" w:eastAsia="楷体_GB2312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菌落总数</w:t>
      </w:r>
    </w:p>
    <w:p>
      <w:pPr>
        <w:spacing w:line="560" w:lineRule="exact"/>
        <w:ind w:firstLine="640" w:firstLineChars="200"/>
        <w:rPr>
          <w:rFonts w:ascii="仿宋_GB2312" w:hAnsi="楷体" w:eastAsia="仿宋_GB2312" w:cs="Arial"/>
          <w:b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菌落总数是指示性微生物指标，并非致病菌指标，主要用来评价食品清洁度，反映食品在生产过程中是否符合卫生要求，一定程度上标志着食品卫生质量的优劣。</w:t>
      </w:r>
      <w:r>
        <w:rPr>
          <w:rFonts w:hint="eastAsia" w:ascii="仿宋_GB2312" w:hAnsi="仿宋" w:eastAsia="仿宋_GB2312"/>
          <w:sz w:val="32"/>
          <w:szCs w:val="32"/>
        </w:rPr>
        <w:t>《食品安全国家标准 熟肉制品》（GB 2726-2016）</w:t>
      </w:r>
      <w:r>
        <w:rPr>
          <w:rFonts w:hint="eastAsia" w:ascii="仿宋_GB2312" w:hAnsi="仿宋" w:eastAsia="仿宋_GB2312" w:cs="仿宋"/>
          <w:sz w:val="32"/>
          <w:szCs w:val="32"/>
        </w:rPr>
        <w:t>中规定，</w:t>
      </w:r>
      <w:r>
        <w:rPr>
          <w:rFonts w:hint="eastAsia" w:ascii="仿宋_GB2312" w:hAnsi="仿宋" w:cs="仿宋"/>
          <w:sz w:val="32"/>
          <w:szCs w:val="32"/>
          <w:lang w:eastAsia="zh-CN"/>
        </w:rPr>
        <w:t>熟肉制品（发酵肉制品类除外）</w:t>
      </w:r>
      <w:r>
        <w:rPr>
          <w:rFonts w:hint="eastAsia" w:ascii="仿宋_GB2312" w:hAnsi="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从一批产品中采集5个样品，若5个样品的检验结果均小于或等于m值（≤10</w:t>
      </w:r>
      <w:r>
        <w:rPr>
          <w:rFonts w:hint="eastAsia" w:ascii="仿宋_GB2312" w:hAnsi="仿宋"/>
          <w:color w:val="000000" w:themeColor="text1"/>
          <w:sz w:val="32"/>
          <w:szCs w:val="32"/>
          <w:vertAlign w:val="superscript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_GB2312" w:hAnsi="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CFU/g），则这种情况是允许的；若≤2个样品的结果（X）位于m值和M值之间（10</w:t>
      </w:r>
      <w:r>
        <w:rPr>
          <w:rFonts w:hint="eastAsia" w:ascii="仿宋_GB2312" w:hAnsi="仿宋"/>
          <w:color w:val="000000" w:themeColor="text1"/>
          <w:sz w:val="32"/>
          <w:szCs w:val="32"/>
          <w:vertAlign w:val="superscript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_GB2312" w:hAnsi="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CFU/g＜X≤10</w:t>
      </w:r>
      <w:r>
        <w:rPr>
          <w:rFonts w:hint="eastAsia" w:ascii="仿宋_GB2312" w:hAnsi="仿宋"/>
          <w:color w:val="000000" w:themeColor="text1"/>
          <w:sz w:val="32"/>
          <w:szCs w:val="32"/>
          <w:vertAlign w:val="superscript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仿宋_GB2312" w:hAnsi="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CFU/g）,则这种情况也是允许的；若有3个及以上的样品检验结果位于m值和M值之间，则这种情况是不允许的；若有任一样品的检验结果大于M值（＞10</w:t>
      </w:r>
      <w:r>
        <w:rPr>
          <w:rFonts w:hint="eastAsia" w:ascii="仿宋_GB2312" w:hAnsi="仿宋"/>
          <w:color w:val="000000" w:themeColor="text1"/>
          <w:sz w:val="32"/>
          <w:szCs w:val="32"/>
          <w:vertAlign w:val="superscript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仿宋_GB2312" w:hAnsi="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CFU/g），则这种情况也是不允许的。</w:t>
      </w:r>
      <w:r>
        <w:rPr>
          <w:rFonts w:hint="eastAsia" w:ascii="仿宋_GB2312" w:hAnsi="仿宋" w:eastAsia="仿宋_GB2312"/>
          <w:sz w:val="32"/>
          <w:szCs w:val="32"/>
        </w:rPr>
        <w:t>食品的菌落总数超标，说明其产品的卫生状况达不到基本的卫生要求，将会破坏食品的营养成分，加速食品的腐败变质，使食品失去食用价值。消费者食用菌落总数</w:t>
      </w:r>
      <w:r>
        <w:rPr>
          <w:rFonts w:hint="eastAsia" w:ascii="仿宋_GB2312" w:hAnsi="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超标严重的食品，容易患痢疾等肠道疾病，会引起呕吐、腹泻等症状。</w:t>
      </w:r>
    </w:p>
    <w:p>
      <w:pPr>
        <w:spacing w:line="560" w:lineRule="exact"/>
        <w:ind w:firstLine="482" w:firstLineChars="150"/>
        <w:rPr>
          <w:rFonts w:ascii="楷体_GB2312" w:hAnsi="楷体" w:eastAsia="楷体_GB2312" w:cs="仿宋_GB2312"/>
          <w:b/>
          <w:sz w:val="32"/>
          <w:szCs w:val="32"/>
        </w:rPr>
      </w:pPr>
      <w:r>
        <w:rPr>
          <w:rFonts w:hint="eastAsia" w:ascii="楷体_GB2312" w:hAnsi="楷体" w:eastAsia="楷体_GB2312" w:cs="仿宋_GB2312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仿宋_GB2312"/>
          <w:b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三</w:t>
      </w:r>
      <w:r>
        <w:rPr>
          <w:rFonts w:hint="eastAsia" w:ascii="楷体_GB2312" w:hAnsi="楷体" w:eastAsia="楷体_GB2312" w:cs="仿宋_GB2312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楷体_GB2312" w:hAnsi="楷体" w:eastAsia="楷体_GB2312" w:cs="仿宋_GB2312"/>
          <w:b/>
          <w:sz w:val="32"/>
          <w:szCs w:val="32"/>
        </w:rPr>
        <w:t>二氧化硫残留量</w:t>
      </w:r>
    </w:p>
    <w:p>
      <w:pPr>
        <w:pStyle w:val="8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仿宋_GB2312" w:hAnsi="仿宋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color w:val="000000"/>
          <w:kern w:val="0"/>
          <w:sz w:val="32"/>
          <w:szCs w:val="32"/>
        </w:rPr>
        <w:t>食品中的二氧化硫残留通常是指二氧化硫、硫磺以及焦亚硫酸钠、焦亚硫酸钾、亚硫酸钠</w:t>
      </w:r>
      <w:r>
        <w:rPr>
          <w:rFonts w:hint="eastAsia" w:ascii="仿宋_GB2312" w:hAnsi="仿宋" w:eastAsia="仿宋_GB2312" w:cs="宋体"/>
          <w:kern w:val="0"/>
          <w:sz w:val="32"/>
          <w:szCs w:val="32"/>
        </w:rPr>
        <w:t>、亚</w:t>
      </w:r>
      <w:r>
        <w:rPr>
          <w:rFonts w:hint="eastAsia" w:ascii="仿宋_GB2312" w:hAnsi="仿宋" w:eastAsia="仿宋_GB2312" w:cs="宋体"/>
          <w:color w:val="000000"/>
          <w:kern w:val="0"/>
          <w:sz w:val="32"/>
          <w:szCs w:val="32"/>
        </w:rPr>
        <w:t>硫酸氢钠、低亚硫酸钠等无机亚硫酸盐残留的统称。</w:t>
      </w:r>
      <w:r>
        <w:rPr>
          <w:rFonts w:hint="eastAsia" w:ascii="仿宋_GB2312" w:hAnsi="仿宋" w:eastAsia="仿宋_GB2312"/>
          <w:sz w:val="32"/>
          <w:szCs w:val="32"/>
        </w:rPr>
        <w:t>《食品安全国家标准 食品添加剂使用标准》（GB 2760-2014）中规定，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米粉制品</w:t>
      </w:r>
      <w:r>
        <w:rPr>
          <w:rFonts w:hint="eastAsia" w:ascii="仿宋_GB2312" w:hAnsi="仿宋" w:eastAsia="仿宋_GB2312"/>
          <w:sz w:val="32"/>
          <w:szCs w:val="32"/>
        </w:rPr>
        <w:t>中不得使用二氧化硫类食品添加剂。</w:t>
      </w:r>
      <w:r>
        <w:rPr>
          <w:rFonts w:hint="eastAsia" w:ascii="仿宋_GB2312" w:hAnsi="仿宋" w:eastAsia="仿宋_GB2312" w:cs="宋体"/>
          <w:kern w:val="0"/>
          <w:sz w:val="32"/>
          <w:szCs w:val="32"/>
        </w:rPr>
        <w:t>对二氧化硫有过敏反应的人（如哮喘病患者等</w:t>
      </w:r>
      <w:r>
        <w:rPr>
          <w:rFonts w:hint="eastAsia" w:ascii="仿宋_GB2312" w:hAnsi="仿宋" w:eastAsia="仿宋_GB2312" w:cs="宋体"/>
          <w:color w:val="000000"/>
          <w:kern w:val="0"/>
          <w:sz w:val="32"/>
          <w:szCs w:val="32"/>
        </w:rPr>
        <w:t>）</w:t>
      </w:r>
      <w:r>
        <w:rPr>
          <w:rFonts w:hint="eastAsia" w:ascii="仿宋_GB2312" w:hAnsi="仿宋" w:eastAsia="仿宋_GB2312" w:cs="宋体"/>
          <w:kern w:val="0"/>
          <w:sz w:val="32"/>
          <w:szCs w:val="32"/>
        </w:rPr>
        <w:t>若食用二氧化硫超标的食物</w:t>
      </w:r>
      <w:r>
        <w:rPr>
          <w:rFonts w:hint="eastAsia" w:ascii="仿宋_GB2312" w:hAnsi="仿宋" w:eastAsia="仿宋_GB2312" w:cs="宋体"/>
          <w:color w:val="000000"/>
          <w:kern w:val="0"/>
          <w:sz w:val="32"/>
          <w:szCs w:val="32"/>
        </w:rPr>
        <w:t>，可能会出现气喘、头痛或恶心等过敏症状。若长期大量摄入二氧化硫残留超标的食品，则可能对人体健康造成危害，其毒性表现为胃肠道反应，如恶心、呕吐等。此外，还会影响钙吸收，使机体钙丢失。</w:t>
      </w:r>
    </w:p>
    <w:p>
      <w:pPr>
        <w:widowControl/>
        <w:ind w:left="0" w:leftChars="0" w:firstLine="643" w:firstLineChars="200"/>
        <w:jc w:val="left"/>
        <w:rPr>
          <w:rFonts w:ascii="楷体_GB2312" w:hAnsi="宋体" w:eastAsia="楷体_GB2312" w:cs="宋体"/>
          <w:b/>
          <w:kern w:val="0"/>
          <w:sz w:val="32"/>
          <w:szCs w:val="32"/>
        </w:rPr>
      </w:pPr>
      <w:r>
        <w:rPr>
          <w:rFonts w:hint="eastAsia" w:ascii="楷体_GB2312" w:hAnsi="宋体" w:eastAsia="楷体_GB2312" w:cs="宋体"/>
          <w:b/>
          <w:kern w:val="0"/>
          <w:sz w:val="32"/>
          <w:szCs w:val="32"/>
          <w:lang w:eastAsia="zh-CN"/>
        </w:rPr>
        <w:t>（四）</w:t>
      </w:r>
      <w:r>
        <w:rPr>
          <w:rFonts w:ascii="楷体_GB2312" w:hAnsi="宋体" w:eastAsia="楷体_GB2312" w:cs="宋体"/>
          <w:b/>
          <w:kern w:val="0"/>
          <w:sz w:val="32"/>
          <w:szCs w:val="32"/>
        </w:rPr>
        <w:t>过氧化值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ascii="仿宋_GB2312" w:hAnsi="仿宋" w:eastAsia="仿宋_GB2312" w:cs="宋体"/>
          <w:kern w:val="0"/>
          <w:sz w:val="32"/>
          <w:szCs w:val="32"/>
          <w:lang w:val="zh-CN"/>
        </w:rPr>
      </w:pPr>
      <w:r>
        <w:rPr>
          <w:rFonts w:ascii="仿宋_GB2312" w:hAnsi="仿宋" w:eastAsia="仿宋_GB2312" w:cs="宋体"/>
          <w:kern w:val="0"/>
          <w:sz w:val="32"/>
          <w:szCs w:val="32"/>
          <w:lang w:val="zh-CN"/>
        </w:rPr>
        <w:t>过氧化值（以脂肪计）主要反映食品中油脂是否氧化变质。随着油脂氧化，过氧化值会逐步升高，虽一般不会对人体的健康产生损害，但严重时会导致肠胃不适、腹泻等症状。《食品安全国家标准</w:t>
      </w:r>
      <w:r>
        <w:rPr>
          <w:rFonts w:hint="eastAsia" w:ascii="仿宋_GB2312" w:hAnsi="仿宋" w:eastAsia="仿宋_GB2312" w:cs="宋体"/>
          <w:kern w:val="0"/>
          <w:sz w:val="32"/>
          <w:szCs w:val="32"/>
          <w:lang w:val="zh-CN"/>
        </w:rPr>
        <w:t xml:space="preserve"> 坚果与籽类</w:t>
      </w:r>
      <w:r>
        <w:rPr>
          <w:rFonts w:ascii="仿宋_GB2312" w:hAnsi="仿宋" w:eastAsia="仿宋_GB2312" w:cs="宋体"/>
          <w:kern w:val="0"/>
          <w:sz w:val="32"/>
          <w:szCs w:val="32"/>
          <w:lang w:val="zh-CN"/>
        </w:rPr>
        <w:t>食品》（GB 1</w:t>
      </w:r>
      <w:r>
        <w:rPr>
          <w:rFonts w:hint="eastAsia" w:ascii="仿宋_GB2312" w:hAnsi="仿宋" w:eastAsia="仿宋_GB2312" w:cs="宋体"/>
          <w:kern w:val="0"/>
          <w:sz w:val="32"/>
          <w:szCs w:val="32"/>
          <w:lang w:val="zh-CN"/>
        </w:rPr>
        <w:t>9300-2014</w:t>
      </w:r>
      <w:r>
        <w:rPr>
          <w:rFonts w:ascii="仿宋_GB2312" w:hAnsi="仿宋" w:eastAsia="仿宋_GB2312" w:cs="宋体"/>
          <w:kern w:val="0"/>
          <w:sz w:val="32"/>
          <w:szCs w:val="32"/>
          <w:lang w:val="zh-CN"/>
        </w:rPr>
        <w:t>）中规定</w:t>
      </w:r>
      <w:r>
        <w:rPr>
          <w:rFonts w:hint="eastAsia" w:ascii="仿宋_GB2312" w:hAnsi="仿宋" w:eastAsia="仿宋_GB2312" w:cs="宋体"/>
          <w:kern w:val="0"/>
          <w:sz w:val="32"/>
          <w:szCs w:val="32"/>
          <w:lang w:val="zh-CN"/>
        </w:rPr>
        <w:t>，熟制葵花籽过氧化值应</w:t>
      </w:r>
      <w:r>
        <w:rPr>
          <w:rFonts w:hint="eastAsia" w:ascii="仿宋_GB2312" w:hAnsi="仿宋" w:eastAsia="仿宋_GB2312"/>
          <w:sz w:val="32"/>
          <w:szCs w:val="32"/>
        </w:rPr>
        <w:t>≤0.80g/100g，其他熟制坚果和籽类食品</w:t>
      </w:r>
      <w:r>
        <w:rPr>
          <w:rFonts w:hint="eastAsia" w:ascii="仿宋_GB2312" w:hAnsi="仿宋" w:eastAsia="仿宋_GB2312" w:cs="宋体"/>
          <w:kern w:val="0"/>
          <w:sz w:val="32"/>
          <w:szCs w:val="32"/>
          <w:lang w:val="zh-CN"/>
        </w:rPr>
        <w:t>过氧化值应</w:t>
      </w:r>
      <w:r>
        <w:rPr>
          <w:rFonts w:hint="eastAsia" w:ascii="仿宋_GB2312" w:hAnsi="仿宋" w:eastAsia="仿宋_GB2312"/>
          <w:sz w:val="32"/>
          <w:szCs w:val="32"/>
        </w:rPr>
        <w:t>≤0.50g/100g。</w:t>
      </w:r>
      <w:r>
        <w:rPr>
          <w:rFonts w:ascii="仿宋_GB2312" w:hAnsi="仿宋" w:eastAsia="仿宋_GB2312" w:cs="宋体"/>
          <w:kern w:val="0"/>
          <w:sz w:val="32"/>
          <w:szCs w:val="32"/>
          <w:lang w:val="zh-CN"/>
        </w:rPr>
        <w:t>过氧化值超标的原因，可能是原料油脂储存不当导致脂肪氧化、生产用油变质，或者样品漏气、储存过程中环境条件控制不当导致产品酸败变质。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jc w:val="left"/>
        <w:textAlignment w:val="auto"/>
        <w:rPr>
          <w:rFonts w:hint="eastAsia" w:ascii="楷体_GB2312" w:hAnsi="宋体" w:eastAsia="楷体_GB2312" w:cs="宋体"/>
          <w:b/>
          <w:kern w:val="0"/>
          <w:sz w:val="32"/>
          <w:szCs w:val="32"/>
          <w:lang w:eastAsia="zh-CN"/>
        </w:rPr>
      </w:pPr>
      <w:r>
        <w:rPr>
          <w:rFonts w:hint="eastAsia" w:ascii="楷体_GB2312" w:hAnsi="宋体" w:eastAsia="楷体_GB2312" w:cs="宋体"/>
          <w:b/>
          <w:kern w:val="0"/>
          <w:sz w:val="32"/>
          <w:szCs w:val="32"/>
          <w:lang w:eastAsia="zh-CN"/>
        </w:rPr>
        <w:t>（五）合成着色剂（苋菜红、亮蓝、</w:t>
      </w:r>
      <w:r>
        <w:rPr>
          <w:rFonts w:hint="eastAsia" w:ascii="楷体_GB2312" w:hAnsi="楷体" w:eastAsia="楷体_GB2312" w:cs="仿宋_GB2312"/>
          <w:b/>
          <w:sz w:val="32"/>
          <w:szCs w:val="32"/>
        </w:rPr>
        <w:t>柠檬黄</w:t>
      </w:r>
      <w:r>
        <w:rPr>
          <w:rFonts w:hint="eastAsia" w:ascii="楷体_GB2312" w:hAnsi="宋体" w:eastAsia="楷体_GB2312" w:cs="宋体"/>
          <w:b/>
          <w:kern w:val="0"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ascii="仿宋_GB2312" w:hAnsi="仿宋" w:eastAsia="仿宋_GB2312" w:cs="宋体"/>
          <w:kern w:val="0"/>
          <w:sz w:val="32"/>
          <w:szCs w:val="32"/>
          <w:lang w:val="zh-CN"/>
        </w:rPr>
      </w:pPr>
      <w:r>
        <w:rPr>
          <w:rFonts w:ascii="仿宋_GB2312" w:hAnsi="仿宋" w:eastAsia="仿宋_GB2312" w:cs="宋体"/>
          <w:kern w:val="0"/>
          <w:sz w:val="32"/>
          <w:szCs w:val="32"/>
          <w:lang w:val="zh-CN"/>
        </w:rPr>
        <w:t>苋菜红、亮蓝</w:t>
      </w:r>
      <w:r>
        <w:rPr>
          <w:rFonts w:hint="eastAsia" w:ascii="仿宋_GB2312" w:hAnsi="仿宋" w:cs="宋体"/>
          <w:kern w:val="0"/>
          <w:sz w:val="32"/>
          <w:szCs w:val="32"/>
          <w:lang w:val="zh-CN"/>
        </w:rPr>
        <w:t>、柠檬黄</w:t>
      </w:r>
      <w:r>
        <w:rPr>
          <w:rFonts w:ascii="仿宋_GB2312" w:hAnsi="仿宋" w:eastAsia="仿宋_GB2312" w:cs="宋体"/>
          <w:kern w:val="0"/>
          <w:sz w:val="32"/>
          <w:szCs w:val="32"/>
          <w:lang w:val="zh-CN"/>
        </w:rPr>
        <w:t>是常见合成着色剂，在现代食品业中应用广泛。《食品安全国家标准</w:t>
      </w:r>
      <w:r>
        <w:rPr>
          <w:rFonts w:hint="eastAsia" w:ascii="仿宋_GB2312" w:hAnsi="仿宋" w:cs="宋体"/>
          <w:kern w:val="0"/>
          <w:sz w:val="32"/>
          <w:szCs w:val="32"/>
          <w:lang w:val="en-US" w:eastAsia="zh-CN"/>
        </w:rPr>
        <w:t xml:space="preserve"> </w:t>
      </w:r>
      <w:r>
        <w:rPr>
          <w:rFonts w:ascii="仿宋_GB2312" w:hAnsi="仿宋" w:eastAsia="仿宋_GB2312" w:cs="宋体"/>
          <w:kern w:val="0"/>
          <w:sz w:val="32"/>
          <w:szCs w:val="32"/>
          <w:lang w:val="zh-CN"/>
        </w:rPr>
        <w:t>食品添加剂使用标准》（GB 2760</w:t>
      </w:r>
      <w:r>
        <w:rPr>
          <w:rFonts w:hint="eastAsia" w:ascii="仿宋_GB2312" w:hAnsi="仿宋" w:cs="宋体"/>
          <w:color w:val="0000FF"/>
          <w:kern w:val="0"/>
          <w:sz w:val="32"/>
          <w:szCs w:val="32"/>
          <w:lang w:val="en-US" w:eastAsia="zh-CN"/>
        </w:rPr>
        <w:t>-</w:t>
      </w:r>
      <w:r>
        <w:rPr>
          <w:rFonts w:ascii="仿宋_GB2312" w:hAnsi="仿宋" w:eastAsia="仿宋_GB2312" w:cs="宋体"/>
          <w:kern w:val="0"/>
          <w:sz w:val="32"/>
          <w:szCs w:val="32"/>
          <w:lang w:val="zh-CN"/>
        </w:rPr>
        <w:t>2014）中规定，蜜饯凉果中苋菜红</w:t>
      </w:r>
      <w:r>
        <w:rPr>
          <w:rFonts w:hint="eastAsia" w:ascii="仿宋_GB2312" w:hAnsi="仿宋" w:cs="宋体"/>
          <w:kern w:val="0"/>
          <w:sz w:val="32"/>
          <w:szCs w:val="32"/>
          <w:lang w:val="zh-CN"/>
        </w:rPr>
        <w:t>应</w:t>
      </w:r>
      <w:r>
        <w:rPr>
          <w:rFonts w:hint="eastAsia" w:ascii="仿宋_GB2312" w:hAnsi="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≤</w:t>
      </w:r>
      <w:r>
        <w:rPr>
          <w:rFonts w:ascii="仿宋_GB2312" w:hAnsi="仿宋" w:eastAsia="仿宋_GB2312" w:cs="宋体"/>
          <w:kern w:val="0"/>
          <w:sz w:val="32"/>
          <w:szCs w:val="32"/>
          <w:lang w:val="zh-CN"/>
        </w:rPr>
        <w:t>0.05g/kg，凉果类亮蓝</w:t>
      </w:r>
      <w:r>
        <w:rPr>
          <w:rFonts w:hint="eastAsia" w:ascii="仿宋_GB2312" w:hAnsi="仿宋" w:cs="宋体"/>
          <w:kern w:val="0"/>
          <w:sz w:val="32"/>
          <w:szCs w:val="32"/>
          <w:lang w:val="zh-CN"/>
        </w:rPr>
        <w:t>应</w:t>
      </w:r>
      <w:r>
        <w:rPr>
          <w:rFonts w:hint="eastAsia" w:ascii="仿宋_GB2312" w:hAnsi="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≤</w:t>
      </w:r>
      <w:r>
        <w:rPr>
          <w:rFonts w:ascii="仿宋_GB2312" w:hAnsi="仿宋" w:eastAsia="仿宋_GB2312" w:cs="宋体"/>
          <w:kern w:val="0"/>
          <w:sz w:val="32"/>
          <w:szCs w:val="32"/>
          <w:lang w:val="zh-CN"/>
        </w:rPr>
        <w:t>0.025g/kg</w:t>
      </w:r>
      <w:r>
        <w:rPr>
          <w:rFonts w:hint="eastAsia" w:ascii="仿宋_GB2312" w:hAnsi="仿宋" w:cs="宋体"/>
          <w:kern w:val="0"/>
          <w:sz w:val="32"/>
          <w:szCs w:val="32"/>
          <w:lang w:val="zh-CN"/>
        </w:rPr>
        <w:t>，</w:t>
      </w:r>
      <w:r>
        <w:rPr>
          <w:rFonts w:hint="eastAsia" w:ascii="仿宋_GB2312" w:hAnsi="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蜜饯凉果中柠檬黄应≤0.1g/kg</w:t>
      </w:r>
      <w:r>
        <w:rPr>
          <w:rFonts w:ascii="仿宋_GB2312" w:hAnsi="仿宋" w:eastAsia="仿宋_GB2312" w:cs="宋体"/>
          <w:kern w:val="0"/>
          <w:sz w:val="32"/>
          <w:szCs w:val="32"/>
          <w:lang w:val="zh-CN"/>
        </w:rPr>
        <w:t>。蜜饯凉果类</w:t>
      </w:r>
      <w:r>
        <w:rPr>
          <w:rFonts w:hint="eastAsia" w:ascii="仿宋_GB2312" w:hAnsi="仿宋" w:cs="宋体"/>
          <w:color w:val="auto"/>
          <w:kern w:val="0"/>
          <w:sz w:val="32"/>
          <w:szCs w:val="32"/>
          <w:lang w:val="zh-CN"/>
        </w:rPr>
        <w:t>食品</w:t>
      </w:r>
      <w:r>
        <w:rPr>
          <w:rFonts w:ascii="仿宋_GB2312" w:hAnsi="仿宋" w:eastAsia="仿宋_GB2312" w:cs="宋体"/>
          <w:color w:val="auto"/>
          <w:kern w:val="0"/>
          <w:sz w:val="32"/>
          <w:szCs w:val="32"/>
          <w:lang w:val="zh-CN"/>
        </w:rPr>
        <w:t>的苋菜红、亮蓝</w:t>
      </w:r>
      <w:r>
        <w:rPr>
          <w:rFonts w:hint="eastAsia" w:ascii="仿宋_GB2312" w:hAnsi="仿宋" w:cs="宋体"/>
          <w:color w:val="auto"/>
          <w:kern w:val="0"/>
          <w:sz w:val="32"/>
          <w:szCs w:val="32"/>
          <w:lang w:val="zh-CN" w:eastAsia="zh-CN"/>
        </w:rPr>
        <w:t>、柠檬黄等</w:t>
      </w:r>
      <w:r>
        <w:rPr>
          <w:rFonts w:ascii="仿宋_GB2312" w:hAnsi="仿宋" w:eastAsia="仿宋_GB2312" w:cs="宋体"/>
          <w:color w:val="auto"/>
          <w:kern w:val="0"/>
          <w:sz w:val="32"/>
          <w:szCs w:val="32"/>
          <w:lang w:val="zh-CN"/>
        </w:rPr>
        <w:t>项目不合格的原因，可能是生产厂家未</w:t>
      </w:r>
      <w:r>
        <w:rPr>
          <w:rFonts w:hint="eastAsia" w:ascii="仿宋_GB2312" w:hAnsi="仿宋" w:cs="宋体"/>
          <w:color w:val="auto"/>
          <w:kern w:val="0"/>
          <w:sz w:val="32"/>
          <w:szCs w:val="32"/>
          <w:lang w:val="zh-CN"/>
        </w:rPr>
        <w:t>严格按照标准使用食品添加剂或因投料时计量不准确导致</w:t>
      </w:r>
      <w:r>
        <w:rPr>
          <w:rFonts w:ascii="仿宋_GB2312" w:hAnsi="仿宋" w:eastAsia="仿宋_GB2312" w:cs="宋体"/>
          <w:color w:val="auto"/>
          <w:kern w:val="0"/>
          <w:sz w:val="32"/>
          <w:szCs w:val="32"/>
          <w:lang w:val="zh-CN"/>
        </w:rPr>
        <w:t>。</w:t>
      </w:r>
      <w:r>
        <w:rPr>
          <w:rFonts w:ascii="仿宋_GB2312" w:hAnsi="仿宋" w:eastAsia="仿宋_GB2312" w:cs="宋体"/>
          <w:kern w:val="0"/>
          <w:sz w:val="32"/>
          <w:szCs w:val="32"/>
          <w:lang w:val="zh-CN"/>
        </w:rPr>
        <w:t>合成着色剂没有营养价值,长期过量食用</w:t>
      </w:r>
      <w:r>
        <w:rPr>
          <w:rFonts w:hint="eastAsia" w:ascii="仿宋_GB2312" w:hAnsi="仿宋" w:cs="宋体"/>
          <w:kern w:val="0"/>
          <w:sz w:val="32"/>
          <w:szCs w:val="32"/>
          <w:lang w:val="zh-CN"/>
        </w:rPr>
        <w:t>合成着色剂超标的食品</w:t>
      </w:r>
      <w:r>
        <w:rPr>
          <w:rFonts w:ascii="仿宋_GB2312" w:hAnsi="仿宋" w:eastAsia="仿宋_GB2312" w:cs="宋体"/>
          <w:kern w:val="0"/>
          <w:sz w:val="32"/>
          <w:szCs w:val="32"/>
          <w:lang w:val="zh-CN"/>
        </w:rPr>
        <w:t>可能对人体健康产生一定影响。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jc w:val="left"/>
        <w:textAlignment w:val="auto"/>
        <w:rPr>
          <w:rFonts w:hint="eastAsia" w:ascii="楷体_GB2312" w:hAnsi="宋体" w:eastAsia="楷体_GB2312" w:cs="宋体"/>
          <w:b/>
          <w:kern w:val="0"/>
          <w:sz w:val="32"/>
          <w:szCs w:val="32"/>
          <w:lang w:eastAsia="zh-CN"/>
        </w:rPr>
      </w:pPr>
      <w:r>
        <w:rPr>
          <w:rFonts w:hint="eastAsia" w:ascii="楷体_GB2312" w:hAnsi="宋体" w:eastAsia="楷体_GB2312" w:cs="宋体"/>
          <w:b/>
          <w:kern w:val="0"/>
          <w:sz w:val="32"/>
          <w:szCs w:val="32"/>
          <w:lang w:eastAsia="zh-CN"/>
        </w:rPr>
        <w:t>（六）相同色泽着色剂混合使用时各自用量占其最大使用量的比例之和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cs="宋体"/>
          <w:kern w:val="0"/>
          <w:sz w:val="32"/>
          <w:szCs w:val="32"/>
          <w:lang w:val="zh-CN"/>
        </w:rPr>
        <w:t>合成着色剂</w:t>
      </w:r>
      <w:r>
        <w:rPr>
          <w:rFonts w:ascii="仿宋_GB2312" w:hAnsi="仿宋" w:eastAsia="仿宋_GB2312" w:cs="宋体"/>
          <w:kern w:val="0"/>
          <w:sz w:val="32"/>
          <w:szCs w:val="32"/>
          <w:lang w:val="zh-CN"/>
        </w:rPr>
        <w:t>在现代食品业中应用广泛。相比于天然色素，具有着色力强、成本低等特点。</w:t>
      </w:r>
      <w:r>
        <w:rPr>
          <w:rFonts w:hint="eastAsia" w:ascii="仿宋_GB2312" w:hAnsi="仿宋" w:eastAsia="仿宋_GB2312" w:cs="宋体"/>
          <w:kern w:val="0"/>
          <w:sz w:val="32"/>
          <w:szCs w:val="32"/>
          <w:lang w:val="zh-CN"/>
        </w:rPr>
        <w:t>《食品安</w:t>
      </w:r>
      <w:r>
        <w:rPr>
          <w:rFonts w:hint="eastAsia" w:ascii="仿宋_GB2312" w:hAnsi="仿宋" w:eastAsia="仿宋_GB2312"/>
          <w:sz w:val="32"/>
          <w:szCs w:val="32"/>
        </w:rPr>
        <w:t>全国家标准 食品添加剂使用标准》（GB 2760-2014）不仅规定了我国在食品中允许添加的某一添加剂的种类、使用量或残留量，而且规定了同一功能的食品添加剂（相同色泽着色剂、防腐剂、抗氧化剂）在混合使用时，各自用量占其最大使用量的比例之和不应超过1。合成着色剂没有营养价值， 尤其是青少年儿童，正处于生长发育期，体内器官功能比较脆弱，神经系统发育尚不健全，对化学物质比较敏感，因此建议消费者要树立科学、健康的饮食观，在选购食品时切忌盲目追求产品卖相，注意</w:t>
      </w:r>
      <w:r>
        <w:rPr>
          <w:rFonts w:hint="eastAsia" w:ascii="仿宋_GB2312" w:hAnsi="仿宋"/>
          <w:color w:val="auto"/>
          <w:sz w:val="32"/>
          <w:szCs w:val="32"/>
          <w:lang w:eastAsia="zh-CN"/>
        </w:rPr>
        <w:t>膳食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合理</w:t>
      </w:r>
      <w:r>
        <w:rPr>
          <w:rFonts w:hint="eastAsia" w:ascii="仿宋_GB2312" w:hAnsi="仿宋" w:eastAsia="仿宋_GB2312"/>
          <w:sz w:val="32"/>
          <w:szCs w:val="32"/>
        </w:rPr>
        <w:t>搭配、营养均衡。</w:t>
      </w:r>
    </w:p>
    <w:p>
      <w:pPr>
        <w:spacing w:line="560" w:lineRule="exact"/>
        <w:ind w:left="0" w:leftChars="0" w:firstLine="643" w:firstLineChars="200"/>
        <w:rPr>
          <w:rFonts w:ascii="楷体_GB2312" w:hAnsi="楷体" w:eastAsia="楷体_GB2312" w:cs="仿宋_GB2312"/>
          <w:b/>
          <w:sz w:val="32"/>
          <w:szCs w:val="32"/>
        </w:rPr>
      </w:pPr>
      <w:r>
        <w:rPr>
          <w:rFonts w:hint="eastAsia" w:ascii="楷体_GB2312" w:hAnsi="楷体" w:eastAsia="楷体_GB2312" w:cs="仿宋_GB2312"/>
          <w:b/>
          <w:color w:val="000000"/>
          <w:sz w:val="32"/>
          <w:szCs w:val="32"/>
        </w:rPr>
        <w:t>（</w:t>
      </w:r>
      <w:r>
        <w:rPr>
          <w:rFonts w:hint="eastAsia" w:ascii="楷体_GB2312" w:hAnsi="楷体" w:eastAsia="楷体_GB2312" w:cs="仿宋_GB2312"/>
          <w:b/>
          <w:color w:val="000000"/>
          <w:sz w:val="32"/>
          <w:szCs w:val="32"/>
          <w:lang w:eastAsia="zh-CN"/>
        </w:rPr>
        <w:t>七</w:t>
      </w:r>
      <w:r>
        <w:rPr>
          <w:rFonts w:hint="eastAsia" w:ascii="楷体_GB2312" w:hAnsi="楷体" w:eastAsia="楷体_GB2312" w:cs="仿宋_GB2312"/>
          <w:b/>
          <w:color w:val="000000"/>
          <w:sz w:val="32"/>
          <w:szCs w:val="32"/>
        </w:rPr>
        <w:t>）</w:t>
      </w:r>
      <w:r>
        <w:rPr>
          <w:rFonts w:hint="eastAsia" w:ascii="楷体_GB2312" w:hAnsi="楷体" w:eastAsia="楷体_GB2312" w:cs="宋体"/>
          <w:b/>
          <w:color w:val="000000"/>
          <w:kern w:val="0"/>
          <w:sz w:val="32"/>
          <w:szCs w:val="32"/>
        </w:rPr>
        <w:t>铝的残留量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仿宋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铝作为食品添加剂硫酸铝钾/硫酸铝铵的重要成分，经常会添加在食物中作为膨松剂或稳定剂。</w:t>
      </w:r>
      <w:r>
        <w:rPr>
          <w:rFonts w:hint="eastAsia" w:ascii="仿宋_GB2312" w:hAnsi="仿宋" w:eastAsia="仿宋_GB2312"/>
          <w:sz w:val="32"/>
          <w:szCs w:val="32"/>
        </w:rPr>
        <w:t>《食品安全国家标准 食品添加剂使用标准》（GB 2760-2014）中规定，</w:t>
      </w:r>
      <w:r>
        <w:rPr>
          <w:rFonts w:hint="eastAsia" w:ascii="仿宋_GB2312" w:hAnsi="仿宋" w:eastAsia="仿宋_GB2312" w:cs="仿宋_GB2312"/>
          <w:sz w:val="32"/>
          <w:szCs w:val="32"/>
          <w:lang w:eastAsia="zh-CN"/>
        </w:rPr>
        <w:t>粉丝粉条</w:t>
      </w:r>
      <w:r>
        <w:rPr>
          <w:rFonts w:hint="eastAsia" w:ascii="仿宋_GB2312" w:hAnsi="仿宋" w:eastAsia="仿宋_GB2312" w:cs="仿宋_GB2312"/>
          <w:sz w:val="32"/>
          <w:szCs w:val="32"/>
        </w:rPr>
        <w:t>中的铝的残留量(干样品，以Al计)应≤</w:t>
      </w:r>
      <w:r>
        <w:rPr>
          <w:rFonts w:hint="eastAsia" w:ascii="仿宋_GB2312" w:hAnsi="仿宋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" w:eastAsia="仿宋_GB2312" w:cs="仿宋_GB2312"/>
          <w:sz w:val="32"/>
          <w:szCs w:val="32"/>
        </w:rPr>
        <w:t>00mg/kg。</w:t>
      </w:r>
      <w:r>
        <w:rPr>
          <w:rFonts w:hint="eastAsia" w:ascii="仿宋_GB2312" w:hAnsi="仿宋" w:eastAsia="仿宋_GB2312"/>
          <w:sz w:val="32"/>
          <w:szCs w:val="32"/>
        </w:rPr>
        <w:t>本次不合格</w:t>
      </w:r>
      <w:r>
        <w:rPr>
          <w:rFonts w:hint="eastAsia" w:ascii="仿宋_GB2312" w:hAnsi="仿宋"/>
          <w:sz w:val="32"/>
          <w:szCs w:val="32"/>
          <w:lang w:eastAsia="zh-CN"/>
        </w:rPr>
        <w:t>的水晶粉丝</w:t>
      </w:r>
      <w:r>
        <w:rPr>
          <w:rFonts w:hint="eastAsia" w:ascii="仿宋_GB2312" w:hAnsi="仿宋" w:eastAsia="仿宋_GB2312"/>
          <w:sz w:val="32"/>
          <w:szCs w:val="32"/>
        </w:rPr>
        <w:t>样品标签明示</w:t>
      </w:r>
      <w:r>
        <w:rPr>
          <w:rFonts w:hint="eastAsia" w:ascii="仿宋_GB2312" w:hAnsi="仿宋"/>
          <w:sz w:val="32"/>
          <w:szCs w:val="32"/>
          <w:lang w:eastAsia="zh-CN"/>
        </w:rPr>
        <w:t>不得使用铝类食品添加剂。</w:t>
      </w:r>
      <w:r>
        <w:rPr>
          <w:rFonts w:hint="eastAsia" w:ascii="仿宋_GB2312" w:hAnsi="仿宋" w:eastAsia="仿宋_GB2312" w:cs="仿宋_GB2312"/>
          <w:sz w:val="32"/>
          <w:szCs w:val="32"/>
        </w:rPr>
        <w:t>铝有一定的慢性毒性，摄入铝超标的食品，在体内可造成铝的蓄积，轻者会使食欲减退，引起贫血，重者会表现为神经毒性，使人运动失调、记忆力衰退等。</w:t>
      </w:r>
    </w:p>
    <w:p>
      <w:pPr>
        <w:spacing w:line="560" w:lineRule="exact"/>
        <w:ind w:firstLine="643" w:firstLineChars="200"/>
        <w:rPr>
          <w:rFonts w:ascii="楷体_GB2312" w:hAnsi="楷体" w:eastAsia="楷体_GB2312" w:cs="仿宋_GB2312"/>
          <w:b/>
          <w:sz w:val="32"/>
          <w:szCs w:val="32"/>
        </w:rPr>
      </w:pPr>
      <w:r>
        <w:rPr>
          <w:rFonts w:hint="eastAsia" w:ascii="楷体_GB2312" w:hAnsi="楷体" w:eastAsia="楷体_GB2312" w:cs="仿宋_GB2312"/>
          <w:b/>
          <w:sz w:val="32"/>
          <w:szCs w:val="32"/>
        </w:rPr>
        <w:t>（</w:t>
      </w:r>
      <w:r>
        <w:rPr>
          <w:rFonts w:hint="eastAsia" w:ascii="楷体_GB2312" w:hAnsi="楷体" w:eastAsia="楷体_GB2312" w:cs="仿宋_GB2312"/>
          <w:b/>
          <w:sz w:val="32"/>
          <w:szCs w:val="32"/>
          <w:lang w:eastAsia="zh-CN"/>
        </w:rPr>
        <w:t>八</w:t>
      </w:r>
      <w:r>
        <w:rPr>
          <w:rFonts w:hint="eastAsia" w:ascii="楷体_GB2312" w:hAnsi="楷体" w:eastAsia="楷体_GB2312" w:cs="仿宋_GB2312"/>
          <w:b/>
          <w:sz w:val="32"/>
          <w:szCs w:val="32"/>
        </w:rPr>
        <w:t>）脱氢乙酸及其钠盐</w:t>
      </w:r>
    </w:p>
    <w:p>
      <w:pPr>
        <w:spacing w:line="560" w:lineRule="exact"/>
        <w:ind w:firstLine="640" w:firstLineChars="200"/>
        <w:rPr>
          <w:rFonts w:ascii="仿宋_GB2312" w:hAnsi="仿宋" w:eastAsia="仿宋_GB2312" w:cs="宋体"/>
          <w:kern w:val="0"/>
          <w:sz w:val="32"/>
          <w:szCs w:val="32"/>
          <w:lang w:val="zh-CN"/>
        </w:rPr>
      </w:pPr>
      <w:r>
        <w:rPr>
          <w:rFonts w:hint="eastAsia" w:ascii="仿宋_GB2312" w:hAnsi="仿宋" w:eastAsia="仿宋_GB2312"/>
          <w:color w:val="auto"/>
          <w:sz w:val="32"/>
          <w:szCs w:val="32"/>
        </w:rPr>
        <w:t>脱氢乙酸及其钠盐因</w:t>
      </w:r>
      <w:bookmarkStart w:id="0" w:name="_GoBack"/>
      <w:bookmarkEnd w:id="0"/>
      <w:r>
        <w:rPr>
          <w:rFonts w:hint="eastAsia" w:ascii="仿宋_GB2312" w:hAnsi="仿宋" w:eastAsia="仿宋_GB2312"/>
          <w:color w:val="auto"/>
          <w:sz w:val="32"/>
          <w:szCs w:val="32"/>
        </w:rPr>
        <w:t>对霉菌具有较强的抑制作用而被广泛用作防腐剂使用。《食品安全国家标准 食品添加剂使用标准》（GB 2760-2014）中规定，</w:t>
      </w:r>
      <w:r>
        <w:rPr>
          <w:rFonts w:hint="eastAsia" w:ascii="仿宋_GB2312" w:hAnsi="仿宋"/>
          <w:color w:val="auto"/>
          <w:sz w:val="32"/>
          <w:szCs w:val="32"/>
          <w:lang w:eastAsia="zh-CN"/>
        </w:rPr>
        <w:t>糕点中脱氢乙酸及其钠盐(以脱氢乙酸计)应</w:t>
      </w:r>
      <w:r>
        <w:rPr>
          <w:rFonts w:hint="eastAsia" w:ascii="仿宋_GB2312" w:hAnsi="仿宋" w:eastAsia="仿宋_GB2312" w:cs="仿宋_GB2312"/>
          <w:sz w:val="32"/>
          <w:szCs w:val="32"/>
        </w:rPr>
        <w:t>≤</w:t>
      </w:r>
      <w:r>
        <w:rPr>
          <w:rFonts w:hint="eastAsia" w:ascii="仿宋_GB2312" w:hAnsi="仿宋" w:cs="仿宋_GB2312"/>
          <w:sz w:val="32"/>
          <w:szCs w:val="32"/>
          <w:lang w:val="en-US" w:eastAsia="zh-CN"/>
        </w:rPr>
        <w:t>0.5</w:t>
      </w:r>
      <w:r>
        <w:rPr>
          <w:rFonts w:hint="eastAsia" w:ascii="仿宋_GB2312" w:hAnsi="仿宋" w:eastAsia="仿宋_GB2312" w:cs="仿宋_GB2312"/>
          <w:sz w:val="32"/>
          <w:szCs w:val="32"/>
        </w:rPr>
        <w:t>g/kg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。</w:t>
      </w:r>
      <w:r>
        <w:rPr>
          <w:rFonts w:hint="eastAsia" w:ascii="仿宋_GB2312" w:hAnsi="仿宋" w:eastAsia="仿宋_GB2312" w:cs="宋体"/>
          <w:color w:val="auto"/>
          <w:kern w:val="0"/>
          <w:sz w:val="32"/>
          <w:szCs w:val="32"/>
          <w:lang w:val="zh-CN"/>
        </w:rPr>
        <w:t>由于脱氢乙酸可与血浆中的白蛋白或组织中蛋白质的胺基结合，若长</w:t>
      </w:r>
      <w:r>
        <w:rPr>
          <w:rFonts w:hint="eastAsia" w:ascii="仿宋_GB2312" w:hAnsi="仿宋" w:eastAsia="仿宋_GB2312" w:cs="宋体"/>
          <w:kern w:val="0"/>
          <w:sz w:val="32"/>
          <w:szCs w:val="32"/>
          <w:lang w:val="zh-CN"/>
        </w:rPr>
        <w:t>期过量食用脱氢乙酸含量超标的食品可能会引起肝、肾和中枢神经系统的损伤。</w:t>
      </w:r>
    </w:p>
    <w:p>
      <w:pPr>
        <w:pStyle w:val="8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ascii="黑体" w:hAnsi="黑体" w:eastAsia="黑体" w:cs="仿宋_GB2312"/>
          <w:color w:val="000000"/>
          <w:sz w:val="32"/>
          <w:szCs w:val="32"/>
        </w:rPr>
      </w:pPr>
      <w:r>
        <w:rPr>
          <w:rFonts w:hint="eastAsia" w:ascii="黑体" w:hAnsi="黑体" w:eastAsia="黑体" w:cs="仿宋_GB2312"/>
          <w:color w:val="000000"/>
          <w:sz w:val="32"/>
          <w:szCs w:val="32"/>
        </w:rPr>
        <w:t>二、建议</w:t>
      </w:r>
    </w:p>
    <w:p>
      <w:pPr>
        <w:pStyle w:val="8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707" w:firstLineChars="220"/>
        <w:textAlignment w:val="auto"/>
        <w:rPr>
          <w:rFonts w:ascii="楷体_GB2312" w:hAnsi="楷体" w:eastAsia="楷体_GB2312"/>
          <w:b/>
          <w:sz w:val="32"/>
          <w:szCs w:val="32"/>
        </w:rPr>
      </w:pPr>
      <w:r>
        <w:rPr>
          <w:rFonts w:hint="eastAsia" w:ascii="楷体_GB2312" w:hAnsi="楷体" w:eastAsia="楷体_GB2312"/>
          <w:b/>
          <w:sz w:val="32"/>
          <w:szCs w:val="32"/>
        </w:rPr>
        <w:t>（一）加强原辅料的把控</w:t>
      </w:r>
    </w:p>
    <w:p>
      <w:pPr>
        <w:pStyle w:val="8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食品原料的质量与卫生是食品质量安全的前提。食品生产经营单位应加强对所使用的原材料的质量管理，建立进货查验、索证索票和进货台账制度，查验供货者的许可证和包含必要检验项目的食品合格证明文件，不得采购腐败变质、发霉、质量不新鲜的食品原料，确保各种原辅料的质量符合标准的有关规定和要求。</w:t>
      </w:r>
    </w:p>
    <w:p>
      <w:pPr>
        <w:pStyle w:val="8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3" w:firstLineChars="200"/>
        <w:textAlignment w:val="auto"/>
        <w:rPr>
          <w:rFonts w:ascii="楷体_GB2312" w:hAnsi="楷体" w:eastAsia="楷体_GB2312"/>
          <w:b/>
          <w:color w:val="auto"/>
          <w:sz w:val="32"/>
          <w:szCs w:val="32"/>
        </w:rPr>
      </w:pPr>
      <w:r>
        <w:rPr>
          <w:rFonts w:hint="eastAsia" w:ascii="楷体_GB2312" w:hAnsi="楷体" w:eastAsia="楷体_GB2312"/>
          <w:b/>
          <w:color w:val="auto"/>
          <w:sz w:val="32"/>
          <w:szCs w:val="32"/>
        </w:rPr>
        <w:t>（二）加强食品出厂检验</w:t>
      </w:r>
    </w:p>
    <w:p>
      <w:pPr>
        <w:pStyle w:val="8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ascii="黑体" w:hAnsi="黑体" w:eastAsia="黑体" w:cs="仿宋_GB2312"/>
          <w:color w:val="auto"/>
          <w:sz w:val="32"/>
          <w:szCs w:val="32"/>
        </w:rPr>
      </w:pPr>
      <w:r>
        <w:rPr>
          <w:rFonts w:hint="eastAsia" w:eastAsia="仿宋_GB2312"/>
          <w:color w:val="auto"/>
          <w:sz w:val="32"/>
          <w:szCs w:val="32"/>
        </w:rPr>
        <w:t>食品生产企业要强化重视出厂检验的意识，制定切合自身且不断完善的出厂检验制度；建立完善的检测条件针对自身产品进行日常监管，制定出厂检验计划并严格执行，确保生产合格的产品；加强对生产的成品的检测频率，进行自检或送往具有相关资质的检测机构进行检测；建立健全产品召回机制，应对突发产品质量问题。</w:t>
      </w:r>
    </w:p>
    <w:p>
      <w:pPr>
        <w:pStyle w:val="8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/>
        <w:jc w:val="both"/>
        <w:textAlignment w:val="auto"/>
        <w:rPr>
          <w:rFonts w:hint="eastAsia" w:ascii="仿宋_GB2312" w:hAnsi="仿宋_GB2312" w:cs="仿宋_GB2312"/>
          <w:sz w:val="32"/>
          <w:szCs w:val="32"/>
        </w:rPr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640"/>
      </w:pPr>
      <w:r>
        <w:separator/>
      </w:r>
    </w:p>
  </w:endnote>
  <w:endnote w:type="continuationSeparator" w:id="1">
    <w:p>
      <w:pPr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640"/>
      </w:pPr>
      <w:r>
        <w:separator/>
      </w:r>
    </w:p>
  </w:footnote>
  <w:footnote w:type="continuationSeparator" w:id="1">
    <w:p>
      <w:pPr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1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10D4506"/>
    <w:rsid w:val="006B1DCC"/>
    <w:rsid w:val="00724BD2"/>
    <w:rsid w:val="008D6C99"/>
    <w:rsid w:val="00B977A2"/>
    <w:rsid w:val="00BE4BAD"/>
    <w:rsid w:val="010D4506"/>
    <w:rsid w:val="017D0269"/>
    <w:rsid w:val="03E020C5"/>
    <w:rsid w:val="03FD00B3"/>
    <w:rsid w:val="055921C9"/>
    <w:rsid w:val="066C5CEA"/>
    <w:rsid w:val="07C82C95"/>
    <w:rsid w:val="081209FA"/>
    <w:rsid w:val="091C5D20"/>
    <w:rsid w:val="0A101FAB"/>
    <w:rsid w:val="0AEA5DCE"/>
    <w:rsid w:val="0C455D22"/>
    <w:rsid w:val="0C6F4539"/>
    <w:rsid w:val="0CD4225F"/>
    <w:rsid w:val="0EA93008"/>
    <w:rsid w:val="0EC839C2"/>
    <w:rsid w:val="10AD16A7"/>
    <w:rsid w:val="1162065F"/>
    <w:rsid w:val="11B32DA0"/>
    <w:rsid w:val="11CE6913"/>
    <w:rsid w:val="1210526E"/>
    <w:rsid w:val="12AF7645"/>
    <w:rsid w:val="12B51B83"/>
    <w:rsid w:val="139A1CB2"/>
    <w:rsid w:val="141B2394"/>
    <w:rsid w:val="155219D3"/>
    <w:rsid w:val="15FE7C46"/>
    <w:rsid w:val="16396F4B"/>
    <w:rsid w:val="16A52765"/>
    <w:rsid w:val="176818BF"/>
    <w:rsid w:val="17FA5E44"/>
    <w:rsid w:val="181E6360"/>
    <w:rsid w:val="199008F8"/>
    <w:rsid w:val="19EB104A"/>
    <w:rsid w:val="1B042E72"/>
    <w:rsid w:val="1C2B3ECE"/>
    <w:rsid w:val="1EFD4E3F"/>
    <w:rsid w:val="1F456A61"/>
    <w:rsid w:val="200B2815"/>
    <w:rsid w:val="2103478D"/>
    <w:rsid w:val="231A399D"/>
    <w:rsid w:val="249A66FD"/>
    <w:rsid w:val="255973C6"/>
    <w:rsid w:val="257D0D7B"/>
    <w:rsid w:val="25D84592"/>
    <w:rsid w:val="274815F0"/>
    <w:rsid w:val="27D171E0"/>
    <w:rsid w:val="282A264F"/>
    <w:rsid w:val="29292876"/>
    <w:rsid w:val="29DF09A6"/>
    <w:rsid w:val="2D2D024C"/>
    <w:rsid w:val="2DA27B95"/>
    <w:rsid w:val="2E172668"/>
    <w:rsid w:val="2F4F707A"/>
    <w:rsid w:val="2FFC71C6"/>
    <w:rsid w:val="31AA7543"/>
    <w:rsid w:val="323F00BC"/>
    <w:rsid w:val="324700B2"/>
    <w:rsid w:val="348E513C"/>
    <w:rsid w:val="34B74329"/>
    <w:rsid w:val="35BC7A15"/>
    <w:rsid w:val="36A26439"/>
    <w:rsid w:val="38622AFA"/>
    <w:rsid w:val="387272BF"/>
    <w:rsid w:val="38865B2F"/>
    <w:rsid w:val="3B1904CB"/>
    <w:rsid w:val="3BAB1A67"/>
    <w:rsid w:val="3BFE4DC9"/>
    <w:rsid w:val="3CDD7A17"/>
    <w:rsid w:val="3E051E67"/>
    <w:rsid w:val="3E1079E4"/>
    <w:rsid w:val="3E88008E"/>
    <w:rsid w:val="3E984FE9"/>
    <w:rsid w:val="3EC80CDE"/>
    <w:rsid w:val="3F033412"/>
    <w:rsid w:val="3F685D87"/>
    <w:rsid w:val="428251DB"/>
    <w:rsid w:val="44141429"/>
    <w:rsid w:val="460F4F06"/>
    <w:rsid w:val="464A4562"/>
    <w:rsid w:val="4848609B"/>
    <w:rsid w:val="4864409A"/>
    <w:rsid w:val="48E60C18"/>
    <w:rsid w:val="49346CC6"/>
    <w:rsid w:val="4B37566A"/>
    <w:rsid w:val="4DAC348D"/>
    <w:rsid w:val="4EBC0748"/>
    <w:rsid w:val="4FE23640"/>
    <w:rsid w:val="4FED4605"/>
    <w:rsid w:val="503305EE"/>
    <w:rsid w:val="50561BEF"/>
    <w:rsid w:val="52A0415B"/>
    <w:rsid w:val="52FE47AC"/>
    <w:rsid w:val="533A17A5"/>
    <w:rsid w:val="53465E28"/>
    <w:rsid w:val="53FD7C6B"/>
    <w:rsid w:val="551B6EF1"/>
    <w:rsid w:val="557E5EAF"/>
    <w:rsid w:val="59E33FF0"/>
    <w:rsid w:val="59EA54F5"/>
    <w:rsid w:val="5C000884"/>
    <w:rsid w:val="5C240B88"/>
    <w:rsid w:val="5CC75BBD"/>
    <w:rsid w:val="5E214E94"/>
    <w:rsid w:val="5E7004E1"/>
    <w:rsid w:val="5ECD4C7F"/>
    <w:rsid w:val="6048573D"/>
    <w:rsid w:val="61E02C8B"/>
    <w:rsid w:val="62547A4D"/>
    <w:rsid w:val="638239E5"/>
    <w:rsid w:val="63E10B0C"/>
    <w:rsid w:val="6537764C"/>
    <w:rsid w:val="65E578BD"/>
    <w:rsid w:val="666A4D62"/>
    <w:rsid w:val="668A5EDC"/>
    <w:rsid w:val="67180D7A"/>
    <w:rsid w:val="67663F7B"/>
    <w:rsid w:val="6792245C"/>
    <w:rsid w:val="67AC56C6"/>
    <w:rsid w:val="6801069F"/>
    <w:rsid w:val="69130912"/>
    <w:rsid w:val="69CB77D8"/>
    <w:rsid w:val="6A323B2C"/>
    <w:rsid w:val="6C2646D1"/>
    <w:rsid w:val="6C721C9A"/>
    <w:rsid w:val="6C942E03"/>
    <w:rsid w:val="6D731B27"/>
    <w:rsid w:val="6E9610D2"/>
    <w:rsid w:val="6ECD36FF"/>
    <w:rsid w:val="6F1957D5"/>
    <w:rsid w:val="72A04A1F"/>
    <w:rsid w:val="72F24D9D"/>
    <w:rsid w:val="733275F5"/>
    <w:rsid w:val="738026E3"/>
    <w:rsid w:val="754B170B"/>
    <w:rsid w:val="75CA36CA"/>
    <w:rsid w:val="763955BF"/>
    <w:rsid w:val="77FC16E5"/>
    <w:rsid w:val="78BC4EF9"/>
    <w:rsid w:val="78C82F23"/>
    <w:rsid w:val="78FE0A2F"/>
    <w:rsid w:val="7A7C11A9"/>
    <w:rsid w:val="7B5E04A9"/>
    <w:rsid w:val="7C073518"/>
    <w:rsid w:val="7C4079FA"/>
    <w:rsid w:val="7F270D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ind w:firstLine="640" w:firstLineChars="200"/>
      <w:jc w:val="both"/>
    </w:pPr>
    <w:rPr>
      <w:rFonts w:ascii="Calibri" w:hAnsi="Calibri" w:eastAsia="仿宋_GB2312" w:cs="Times New Roman"/>
      <w:kern w:val="2"/>
      <w:sz w:val="32"/>
      <w:szCs w:val="22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rFonts w:eastAsia="楷体_GB2312"/>
      <w:b/>
      <w:kern w:val="44"/>
    </w:rPr>
  </w:style>
  <w:style w:type="paragraph" w:styleId="5">
    <w:name w:val="heading 2"/>
    <w:basedOn w:val="1"/>
    <w:next w:val="1"/>
    <w:link w:val="16"/>
    <w:semiHidden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Cs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spacing w:before="0"/>
      <w:ind w:left="420" w:leftChars="200" w:firstLine="420"/>
    </w:pPr>
  </w:style>
  <w:style w:type="paragraph" w:styleId="3">
    <w:name w:val="Body Text Indent"/>
    <w:basedOn w:val="1"/>
    <w:qFormat/>
    <w:uiPriority w:val="0"/>
    <w:pPr>
      <w:spacing w:before="120" w:after="120"/>
      <w:ind w:firstLine="480"/>
    </w:pPr>
    <w:rPr>
      <w:rFonts w:ascii="宋体" w:hAnsi="宋体"/>
      <w:sz w:val="24"/>
      <w:szCs w:val="20"/>
    </w:rPr>
  </w:style>
  <w:style w:type="paragraph" w:styleId="6">
    <w:name w:val="footer"/>
    <w:basedOn w:val="1"/>
    <w:link w:val="15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unhideWhenUsed/>
    <w:qFormat/>
    <w:uiPriority w:val="99"/>
    <w:pPr>
      <w:widowControl/>
      <w:spacing w:before="100" w:beforeAutospacing="1" w:after="100" w:afterAutospacing="1"/>
      <w:ind w:firstLine="0" w:firstLineChars="0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1">
    <w:name w:val="Strong"/>
    <w:basedOn w:val="10"/>
    <w:qFormat/>
    <w:uiPriority w:val="22"/>
    <w:rPr>
      <w:b/>
      <w:bCs/>
    </w:rPr>
  </w:style>
  <w:style w:type="character" w:styleId="12">
    <w:name w:val="Hyperlink"/>
    <w:basedOn w:val="10"/>
    <w:qFormat/>
    <w:uiPriority w:val="0"/>
    <w:rPr>
      <w:color w:val="0000FF"/>
      <w:u w:val="single"/>
    </w:rPr>
  </w:style>
  <w:style w:type="paragraph" w:customStyle="1" w:styleId="13">
    <w:name w:val="本文正文"/>
    <w:basedOn w:val="1"/>
    <w:qFormat/>
    <w:uiPriority w:val="0"/>
    <w:pPr>
      <w:spacing w:line="360" w:lineRule="auto"/>
      <w:ind w:firstLine="803"/>
    </w:pPr>
    <w:rPr>
      <w:rFonts w:ascii="宋体" w:hAnsi="宋体"/>
      <w:sz w:val="24"/>
    </w:rPr>
  </w:style>
  <w:style w:type="character" w:customStyle="1" w:styleId="14">
    <w:name w:val="页眉 字符"/>
    <w:basedOn w:val="10"/>
    <w:link w:val="7"/>
    <w:qFormat/>
    <w:uiPriority w:val="0"/>
    <w:rPr>
      <w:rFonts w:ascii="Calibri" w:hAnsi="Calibri" w:eastAsia="仿宋_GB2312"/>
      <w:kern w:val="2"/>
      <w:sz w:val="18"/>
      <w:szCs w:val="18"/>
    </w:rPr>
  </w:style>
  <w:style w:type="character" w:customStyle="1" w:styleId="15">
    <w:name w:val="页脚 字符"/>
    <w:basedOn w:val="10"/>
    <w:link w:val="6"/>
    <w:qFormat/>
    <w:uiPriority w:val="0"/>
    <w:rPr>
      <w:rFonts w:ascii="Calibri" w:hAnsi="Calibri" w:eastAsia="仿宋_GB2312"/>
      <w:kern w:val="2"/>
      <w:sz w:val="18"/>
      <w:szCs w:val="18"/>
    </w:rPr>
  </w:style>
  <w:style w:type="character" w:customStyle="1" w:styleId="16">
    <w:name w:val="标题 2 字符"/>
    <w:basedOn w:val="10"/>
    <w:link w:val="5"/>
    <w:semiHidden/>
    <w:qFormat/>
    <w:uiPriority w:val="0"/>
    <w:rPr>
      <w:rFonts w:asciiTheme="majorHAnsi" w:hAnsiTheme="majorHAnsi" w:eastAsiaTheme="majorEastAsia" w:cstheme="majorBidi"/>
      <w:b/>
      <w:bCs/>
      <w:kern w:val="2"/>
      <w:sz w:val="32"/>
      <w:szCs w:val="32"/>
    </w:rPr>
  </w:style>
  <w:style w:type="paragraph" w:customStyle="1" w:styleId="17">
    <w:name w:val="列出段落2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华测检测认证集团股份有限公司</Company>
  <Pages>8</Pages>
  <Words>600</Words>
  <Characters>3426</Characters>
  <Lines>28</Lines>
  <Paragraphs>8</Paragraphs>
  <TotalTime>44</TotalTime>
  <ScaleCrop>false</ScaleCrop>
  <LinksUpToDate>false</LinksUpToDate>
  <CharactersWithSpaces>4018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2020-12-18T06:54:00Z</dcterms:created>
  <dc:creator>zhenyongwen</dc:creator>
  <cp:lastModifiedBy>韦慧勤</cp:lastModifiedBy>
  <dcterms:modified xsi:type="dcterms:W3CDTF">2021-05-13T07:39:51Z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2BCBADEB164F420AB7CA92621D404113</vt:lpwstr>
  </property>
</Properties>
</file>