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Arial"/>
          <w:kern w:val="0"/>
          <w:szCs w:val="32"/>
          <w:lang w:eastAsia="zh-CN"/>
        </w:rPr>
      </w:pPr>
      <w:r>
        <w:rPr>
          <w:rFonts w:hint="eastAsia" w:ascii="黑体" w:hAnsi="黑体" w:eastAsia="黑体" w:cs="Arial"/>
          <w:kern w:val="0"/>
          <w:szCs w:val="32"/>
        </w:rPr>
        <w:t>附件</w:t>
      </w:r>
      <w:r>
        <w:rPr>
          <w:rFonts w:hint="eastAsia" w:ascii="黑体" w:hAnsi="黑体" w:eastAsia="黑体" w:cs="Arial"/>
          <w:kern w:val="0"/>
          <w:szCs w:val="32"/>
          <w:lang w:val="en-US" w:eastAsia="zh-CN"/>
        </w:rPr>
        <w:t>3</w:t>
      </w:r>
    </w:p>
    <w:p>
      <w:pPr>
        <w:keepNext w:val="0"/>
        <w:keepLines w:val="0"/>
        <w:pageBreakBefore w:val="0"/>
        <w:kinsoku/>
        <w:wordWrap/>
        <w:overflowPunct/>
        <w:topLinePunct w:val="0"/>
        <w:autoSpaceDE/>
        <w:autoSpaceDN/>
        <w:bidi w:val="0"/>
        <w:adjustRightInd/>
        <w:snapToGrid/>
        <w:spacing w:line="560" w:lineRule="exact"/>
        <w:ind w:firstLine="832"/>
        <w:jc w:val="center"/>
        <w:textAlignment w:val="auto"/>
        <w:rPr>
          <w:rFonts w:ascii="方正小标宋简体" w:hAnsi="方正小标宋简体" w:eastAsia="方正小标宋简体" w:cs="方正小标宋简体"/>
          <w:spacing w:val="-12"/>
          <w:sz w:val="44"/>
          <w:szCs w:val="44"/>
        </w:rPr>
      </w:pPr>
      <w:r>
        <w:rPr>
          <w:rFonts w:hint="eastAsia" w:ascii="华文中宋" w:hAnsi="华文中宋" w:eastAsia="华文中宋" w:cs="华文中宋"/>
          <w:spacing w:val="-12"/>
          <w:sz w:val="44"/>
          <w:szCs w:val="44"/>
        </w:rPr>
        <w:t>部分不合格项目小知识</w:t>
      </w:r>
    </w:p>
    <w:p>
      <w:pPr>
        <w:pStyle w:val="2"/>
        <w:keepNext w:val="0"/>
        <w:keepLines w:val="0"/>
        <w:pageBreakBefore w:val="0"/>
        <w:kinsoku/>
        <w:wordWrap/>
        <w:overflowPunct/>
        <w:topLinePunct w:val="0"/>
        <w:autoSpaceDE/>
        <w:autoSpaceDN/>
        <w:bidi w:val="0"/>
        <w:adjustRightInd/>
        <w:snapToGrid/>
        <w:spacing w:after="0" w:line="560" w:lineRule="exact"/>
        <w:ind w:left="640" w:firstLine="480"/>
        <w:textAlignment w:val="auto"/>
      </w:pPr>
    </w:p>
    <w:p>
      <w:pPr>
        <w:keepNext w:val="0"/>
        <w:keepLines w:val="0"/>
        <w:pageBreakBefore w:val="0"/>
        <w:kinsoku/>
        <w:wordWrap/>
        <w:overflowPunct/>
        <w:topLinePunct w:val="0"/>
        <w:autoSpaceDE/>
        <w:autoSpaceDN/>
        <w:bidi w:val="0"/>
        <w:adjustRightInd/>
        <w:snapToGrid/>
        <w:spacing w:line="560" w:lineRule="exact"/>
        <w:ind w:firstLine="643"/>
        <w:textAlignment w:val="auto"/>
        <w:rPr>
          <w:rFonts w:ascii="黑体" w:hAnsi="黑体" w:eastAsia="黑体" w:cs="黑体"/>
          <w:b w:val="0"/>
          <w:bCs w:val="0"/>
          <w:szCs w:val="32"/>
        </w:rPr>
      </w:pPr>
      <w:r>
        <w:rPr>
          <w:rFonts w:hint="eastAsia" w:ascii="黑体" w:hAnsi="黑体" w:eastAsia="黑体" w:cs="黑体"/>
          <w:b w:val="0"/>
          <w:bCs w:val="0"/>
          <w:szCs w:val="32"/>
        </w:rPr>
        <w:t>一、不合格项目小知识</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Chars="200"/>
        <w:jc w:val="left"/>
        <w:textAlignment w:val="auto"/>
        <w:rPr>
          <w:rFonts w:ascii="楷体_GB2312" w:hAnsi="宋体" w:eastAsia="楷体_GB2312" w:cs="宋体"/>
          <w:b/>
          <w:kern w:val="0"/>
          <w:sz w:val="32"/>
          <w:szCs w:val="32"/>
        </w:rPr>
      </w:pPr>
      <w:r>
        <w:rPr>
          <w:rFonts w:hint="eastAsia" w:ascii="楷体_GB2312" w:hAnsi="宋体" w:eastAsia="楷体_GB2312" w:cs="宋体"/>
          <w:b/>
          <w:kern w:val="0"/>
          <w:sz w:val="32"/>
          <w:szCs w:val="32"/>
          <w:lang w:eastAsia="zh-CN"/>
        </w:rPr>
        <w:t>（一）</w:t>
      </w:r>
      <w:r>
        <w:rPr>
          <w:rFonts w:ascii="楷体_GB2312" w:hAnsi="宋体" w:eastAsia="楷体_GB2312" w:cs="宋体"/>
          <w:b/>
          <w:kern w:val="0"/>
          <w:sz w:val="32"/>
          <w:szCs w:val="32"/>
        </w:rPr>
        <w:t>过氧化值</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cs="宋体"/>
          <w:color w:val="auto"/>
          <w:kern w:val="0"/>
          <w:sz w:val="32"/>
          <w:szCs w:val="32"/>
          <w:lang w:val="zh-CN"/>
        </w:rPr>
      </w:pPr>
      <w:r>
        <w:rPr>
          <w:rFonts w:ascii="仿宋_GB2312" w:hAnsi="仿宋" w:eastAsia="仿宋_GB2312" w:cs="宋体"/>
          <w:kern w:val="0"/>
          <w:sz w:val="32"/>
          <w:szCs w:val="32"/>
          <w:lang w:val="zh-CN"/>
        </w:rPr>
        <w:t>过氧化值（以脂肪计）主要反映食品中油脂是否氧化变质。随着油脂氧化，过氧化值会逐步升高，虽一般不会对人体的健康产生损害，但严重时会导致肠胃不适、腹泻等症状。</w:t>
      </w:r>
      <w:r>
        <w:rPr>
          <w:rFonts w:hint="eastAsia" w:ascii="仿宋_GB2312" w:hAnsi="仿宋" w:eastAsia="仿宋_GB2312" w:cs="仿宋"/>
          <w:sz w:val="32"/>
          <w:szCs w:val="32"/>
        </w:rPr>
        <w:t>《食品安全国家标准 腌腊肉制品》（GB 2730-2015）中规定，腌腊</w:t>
      </w:r>
      <w:r>
        <w:rPr>
          <w:rFonts w:hint="eastAsia" w:ascii="仿宋_GB2312" w:hAnsi="仿宋" w:cs="仿宋"/>
          <w:sz w:val="32"/>
          <w:szCs w:val="32"/>
          <w:lang w:eastAsia="zh-CN"/>
        </w:rPr>
        <w:t>禽</w:t>
      </w:r>
      <w:r>
        <w:rPr>
          <w:rFonts w:hint="eastAsia" w:ascii="仿宋_GB2312" w:hAnsi="仿宋" w:eastAsia="仿宋_GB2312" w:cs="仿宋"/>
          <w:sz w:val="32"/>
          <w:szCs w:val="32"/>
        </w:rPr>
        <w:t>制品的过氧化值(以脂肪计)应≤</w:t>
      </w:r>
      <w:r>
        <w:rPr>
          <w:rFonts w:hint="eastAsia" w:ascii="仿宋_GB2312" w:hAnsi="仿宋" w:cs="仿宋"/>
          <w:sz w:val="32"/>
          <w:szCs w:val="32"/>
          <w:lang w:val="en-US" w:eastAsia="zh-CN"/>
        </w:rPr>
        <w:t>1</w:t>
      </w:r>
      <w:r>
        <w:rPr>
          <w:rFonts w:hint="eastAsia" w:ascii="仿宋_GB2312" w:hAnsi="仿宋" w:eastAsia="仿宋_GB2312" w:cs="仿宋"/>
          <w:sz w:val="32"/>
          <w:szCs w:val="32"/>
        </w:rPr>
        <w:t>.5g/100g</w:t>
      </w:r>
      <w:r>
        <w:rPr>
          <w:rFonts w:hint="eastAsia" w:ascii="仿宋_GB2312" w:hAnsi="仿宋" w:cs="仿宋"/>
          <w:sz w:val="32"/>
          <w:szCs w:val="32"/>
          <w:lang w:eastAsia="zh-CN"/>
        </w:rPr>
        <w:t>；火腿、腊肉、咸肉、香（腊）肠</w:t>
      </w:r>
      <w:r>
        <w:rPr>
          <w:rFonts w:hint="eastAsia" w:ascii="仿宋_GB2312" w:hAnsi="仿宋" w:eastAsia="仿宋_GB2312" w:cs="仿宋"/>
          <w:sz w:val="32"/>
          <w:szCs w:val="32"/>
        </w:rPr>
        <w:t>的过氧化值(以脂肪计)应≤</w:t>
      </w:r>
      <w:r>
        <w:rPr>
          <w:rFonts w:hint="eastAsia" w:ascii="仿宋_GB2312" w:hAnsi="仿宋" w:cs="仿宋"/>
          <w:sz w:val="32"/>
          <w:szCs w:val="32"/>
          <w:lang w:val="en-US" w:eastAsia="zh-CN"/>
        </w:rPr>
        <w:t>0</w:t>
      </w:r>
      <w:r>
        <w:rPr>
          <w:rFonts w:hint="eastAsia" w:ascii="仿宋_GB2312" w:hAnsi="仿宋" w:eastAsia="仿宋_GB2312" w:cs="仿宋"/>
          <w:sz w:val="32"/>
          <w:szCs w:val="32"/>
        </w:rPr>
        <w:t>.5g/100g。</w:t>
      </w:r>
      <w:r>
        <w:rPr>
          <w:rFonts w:ascii="仿宋_GB2312" w:hAnsi="仿宋" w:eastAsia="仿宋_GB2312" w:cs="宋体"/>
          <w:kern w:val="0"/>
          <w:sz w:val="32"/>
          <w:szCs w:val="32"/>
          <w:lang w:val="zh-CN"/>
        </w:rPr>
        <w:t>过氧化值超标的原因，可能</w:t>
      </w:r>
      <w:r>
        <w:rPr>
          <w:rFonts w:ascii="仿宋_GB2312" w:hAnsi="仿宋" w:eastAsia="仿宋_GB2312" w:cs="宋体"/>
          <w:color w:val="auto"/>
          <w:kern w:val="0"/>
          <w:sz w:val="32"/>
          <w:szCs w:val="32"/>
          <w:lang w:val="zh-CN"/>
        </w:rPr>
        <w:t>是</w:t>
      </w:r>
      <w:r>
        <w:rPr>
          <w:rFonts w:hint="eastAsia" w:ascii="仿宋_GB2312" w:hAnsi="仿宋" w:cs="宋体"/>
          <w:color w:val="auto"/>
          <w:kern w:val="0"/>
          <w:sz w:val="32"/>
          <w:szCs w:val="32"/>
          <w:lang w:val="zh-CN"/>
        </w:rPr>
        <w:t>产品因</w:t>
      </w:r>
      <w:r>
        <w:rPr>
          <w:rFonts w:ascii="仿宋_GB2312" w:hAnsi="仿宋" w:eastAsia="仿宋_GB2312" w:cs="宋体"/>
          <w:color w:val="auto"/>
          <w:kern w:val="0"/>
          <w:sz w:val="32"/>
          <w:szCs w:val="32"/>
          <w:lang w:val="zh-CN"/>
        </w:rPr>
        <w:t>储存不当导致</w:t>
      </w:r>
      <w:r>
        <w:rPr>
          <w:rFonts w:hint="eastAsia" w:ascii="仿宋_GB2312" w:hAnsi="仿宋" w:cs="宋体"/>
          <w:color w:val="auto"/>
          <w:kern w:val="0"/>
          <w:sz w:val="32"/>
          <w:szCs w:val="32"/>
          <w:lang w:val="zh-CN"/>
        </w:rPr>
        <w:t>其中的</w:t>
      </w:r>
      <w:r>
        <w:rPr>
          <w:rFonts w:ascii="仿宋_GB2312" w:hAnsi="仿宋" w:eastAsia="仿宋_GB2312" w:cs="宋体"/>
          <w:color w:val="auto"/>
          <w:kern w:val="0"/>
          <w:sz w:val="32"/>
          <w:szCs w:val="32"/>
          <w:lang w:val="zh-CN"/>
        </w:rPr>
        <w:t>脂肪氧化</w:t>
      </w:r>
      <w:r>
        <w:rPr>
          <w:rFonts w:hint="eastAsia" w:ascii="仿宋_GB2312" w:hAnsi="仿宋" w:cs="宋体"/>
          <w:color w:val="auto"/>
          <w:kern w:val="0"/>
          <w:sz w:val="32"/>
          <w:szCs w:val="32"/>
          <w:lang w:val="zh-CN"/>
        </w:rPr>
        <w:t>或</w:t>
      </w:r>
      <w:r>
        <w:rPr>
          <w:rFonts w:ascii="仿宋_GB2312" w:hAnsi="仿宋" w:eastAsia="仿宋_GB2312" w:cs="宋体"/>
          <w:color w:val="auto"/>
          <w:kern w:val="0"/>
          <w:sz w:val="32"/>
          <w:szCs w:val="32"/>
          <w:lang w:val="zh-CN"/>
        </w:rPr>
        <w:t>生产用油变质，或</w:t>
      </w:r>
      <w:r>
        <w:rPr>
          <w:rFonts w:hint="eastAsia" w:ascii="仿宋_GB2312" w:hAnsi="仿宋" w:cs="宋体"/>
          <w:color w:val="auto"/>
          <w:kern w:val="0"/>
          <w:sz w:val="32"/>
          <w:szCs w:val="32"/>
          <w:lang w:val="zh-CN"/>
        </w:rPr>
        <w:t>因产品</w:t>
      </w:r>
      <w:r>
        <w:rPr>
          <w:rFonts w:ascii="仿宋_GB2312" w:hAnsi="仿宋" w:eastAsia="仿宋_GB2312" w:cs="宋体"/>
          <w:color w:val="auto"/>
          <w:kern w:val="0"/>
          <w:sz w:val="32"/>
          <w:szCs w:val="32"/>
          <w:lang w:val="zh-CN"/>
        </w:rPr>
        <w:t>漏气、储存过程中环境条件控制不当</w:t>
      </w:r>
      <w:r>
        <w:rPr>
          <w:rFonts w:hint="eastAsia" w:ascii="仿宋_GB2312" w:hAnsi="仿宋" w:cs="宋体"/>
          <w:color w:val="auto"/>
          <w:kern w:val="0"/>
          <w:sz w:val="32"/>
          <w:szCs w:val="32"/>
          <w:lang w:val="zh-CN"/>
        </w:rPr>
        <w:t>而</w:t>
      </w:r>
      <w:r>
        <w:rPr>
          <w:rFonts w:ascii="仿宋_GB2312" w:hAnsi="仿宋" w:eastAsia="仿宋_GB2312" w:cs="宋体"/>
          <w:color w:val="auto"/>
          <w:kern w:val="0"/>
          <w:sz w:val="32"/>
          <w:szCs w:val="32"/>
          <w:lang w:val="zh-CN"/>
        </w:rPr>
        <w:t>导致。</w:t>
      </w:r>
    </w:p>
    <w:p>
      <w:pPr>
        <w:spacing w:line="560" w:lineRule="exact"/>
        <w:ind w:firstLine="482" w:firstLineChars="150"/>
        <w:rPr>
          <w:rFonts w:ascii="楷体_GB2312" w:hAnsi="楷体" w:eastAsia="楷体_GB2312" w:cs="仿宋_GB2312"/>
          <w:b/>
          <w:sz w:val="32"/>
          <w:szCs w:val="32"/>
        </w:rPr>
      </w:pPr>
      <w:r>
        <w:rPr>
          <w:rFonts w:hint="eastAsia" w:ascii="楷体_GB2312" w:hAnsi="楷体" w:eastAsia="楷体_GB2312" w:cs="仿宋_GB2312"/>
          <w:b/>
          <w:color w:val="000000" w:themeColor="text1"/>
          <w:sz w:val="32"/>
          <w:szCs w:val="32"/>
          <w14:textFill>
            <w14:solidFill>
              <w14:schemeClr w14:val="tx1"/>
            </w14:solidFill>
          </w14:textFill>
        </w:rPr>
        <w:t>（</w:t>
      </w:r>
      <w:r>
        <w:rPr>
          <w:rFonts w:hint="eastAsia" w:ascii="楷体_GB2312" w:hAnsi="楷体" w:eastAsia="楷体_GB2312" w:cs="仿宋_GB2312"/>
          <w:b/>
          <w:color w:val="000000" w:themeColor="text1"/>
          <w:sz w:val="32"/>
          <w:szCs w:val="32"/>
          <w:lang w:eastAsia="zh-CN"/>
          <w14:textFill>
            <w14:solidFill>
              <w14:schemeClr w14:val="tx1"/>
            </w14:solidFill>
          </w14:textFill>
        </w:rPr>
        <w:t>二</w:t>
      </w:r>
      <w:r>
        <w:rPr>
          <w:rFonts w:hint="eastAsia" w:ascii="楷体_GB2312" w:hAnsi="楷体" w:eastAsia="楷体_GB2312" w:cs="仿宋_GB2312"/>
          <w:b/>
          <w:color w:val="000000" w:themeColor="text1"/>
          <w:sz w:val="32"/>
          <w:szCs w:val="32"/>
          <w14:textFill>
            <w14:solidFill>
              <w14:schemeClr w14:val="tx1"/>
            </w14:solidFill>
          </w14:textFill>
        </w:rPr>
        <w:t>）</w:t>
      </w:r>
      <w:r>
        <w:rPr>
          <w:rFonts w:hint="eastAsia" w:ascii="楷体_GB2312" w:hAnsi="楷体" w:eastAsia="楷体_GB2312" w:cs="仿宋_GB2312"/>
          <w:b/>
          <w:sz w:val="32"/>
          <w:szCs w:val="32"/>
        </w:rPr>
        <w:t>二氧化硫残留量</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 w:eastAsia="仿宋_GB2312" w:cs="仿宋"/>
          <w:kern w:val="2"/>
          <w:sz w:val="32"/>
          <w:szCs w:val="32"/>
          <w:lang w:val="en-US" w:eastAsia="zh-CN" w:bidi="ar-SA"/>
        </w:rPr>
      </w:pPr>
      <w:r>
        <w:rPr>
          <w:rFonts w:hint="eastAsia" w:ascii="仿宋_GB2312" w:hAnsi="仿宋" w:eastAsia="仿宋_GB2312" w:cs="仿宋"/>
          <w:kern w:val="2"/>
          <w:sz w:val="32"/>
          <w:szCs w:val="32"/>
          <w:lang w:val="en-US" w:eastAsia="zh-CN" w:bidi="ar-SA"/>
        </w:rPr>
        <w:t>食品中的二氧化硫残留通常是指二氧化硫、硫磺以及焦亚硫酸钠、焦亚硫酸钾、亚硫酸钠、亚硫酸氢钠、低亚硫酸钠等无机亚硫酸盐残留的统称。《食品安全国家标准 食品添加剂使用标准》（GB 2760-2014）中规定，</w:t>
      </w:r>
      <w:r>
        <w:rPr>
          <w:rFonts w:hint="eastAsia" w:ascii="仿宋_GB2312" w:hAnsi="仿宋" w:eastAsia="仿宋_GB2312"/>
          <w:sz w:val="32"/>
          <w:szCs w:val="32"/>
        </w:rPr>
        <w:t>干制蔬菜中二氧化硫残留量应≤0.2g/kg</w:t>
      </w:r>
      <w:r>
        <w:rPr>
          <w:rFonts w:hint="eastAsia" w:ascii="仿宋_GB2312" w:hAnsi="仿宋" w:eastAsia="仿宋_GB2312" w:cs="仿宋"/>
          <w:kern w:val="2"/>
          <w:sz w:val="32"/>
          <w:szCs w:val="32"/>
          <w:lang w:val="en-US" w:eastAsia="zh-CN" w:bidi="ar-SA"/>
        </w:rPr>
        <w:t>。对二氧化硫有过敏反应的人（如哮喘病患者等）若食用二氧化硫超标的食物，可能会出现气喘、头痛或恶心等过敏症状。若长期大量摄入二氧化硫残留超标的食品，则可能对人体健康造成危害，其毒性表现为胃肠道反应，如恶心、呕吐等。此外，还会影响钙吸收，使机体钙丢失。</w:t>
      </w:r>
    </w:p>
    <w:p>
      <w:pPr>
        <w:keepNext w:val="0"/>
        <w:keepLines w:val="0"/>
        <w:pageBreakBefore w:val="0"/>
        <w:widowControl w:val="0"/>
        <w:kinsoku/>
        <w:wordWrap/>
        <w:overflowPunct/>
        <w:topLinePunct w:val="0"/>
        <w:autoSpaceDE/>
        <w:autoSpaceDN/>
        <w:bidi w:val="0"/>
        <w:adjustRightInd/>
        <w:snapToGrid/>
        <w:spacing w:line="560" w:lineRule="exact"/>
        <w:ind w:firstLine="643"/>
        <w:textAlignment w:val="auto"/>
        <w:rPr>
          <w:rFonts w:hint="eastAsia" w:ascii="楷体_GB2312" w:hAnsi="楷体" w:eastAsia="楷体_GB2312" w:cs="楷体"/>
          <w:b/>
          <w:bCs/>
          <w:szCs w:val="32"/>
          <w:shd w:val="clear" w:color="auto" w:fill="FFFFFF"/>
        </w:rPr>
      </w:pPr>
      <w:r>
        <w:rPr>
          <w:rFonts w:hint="eastAsia" w:ascii="楷体_GB2312" w:hAnsi="楷体" w:eastAsia="楷体_GB2312" w:cs="楷体"/>
          <w:b/>
          <w:bCs/>
          <w:szCs w:val="32"/>
          <w:shd w:val="clear" w:color="auto" w:fill="FFFFFF"/>
        </w:rPr>
        <w:t>（</w:t>
      </w:r>
      <w:r>
        <w:rPr>
          <w:rFonts w:hint="eastAsia" w:ascii="楷体_GB2312" w:hAnsi="楷体" w:eastAsia="楷体_GB2312" w:cs="楷体"/>
          <w:b/>
          <w:bCs/>
          <w:szCs w:val="32"/>
          <w:shd w:val="clear" w:color="auto" w:fill="FFFFFF"/>
          <w:lang w:eastAsia="zh-CN"/>
        </w:rPr>
        <w:t>三</w:t>
      </w:r>
      <w:r>
        <w:rPr>
          <w:rFonts w:hint="eastAsia" w:ascii="楷体_GB2312" w:hAnsi="楷体" w:eastAsia="楷体_GB2312" w:cs="楷体"/>
          <w:b/>
          <w:bCs/>
          <w:szCs w:val="32"/>
          <w:shd w:val="clear" w:color="auto" w:fill="FFFFFF"/>
        </w:rPr>
        <w:t>）铅</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640"/>
        <w:textAlignment w:val="auto"/>
        <w:rPr>
          <w:rFonts w:hint="eastAsia" w:ascii="仿宋_GB2312" w:hAnsi="仿宋_GB2312" w:cs="仿宋_GB2312"/>
          <w:color w:val="auto"/>
          <w:sz w:val="32"/>
          <w:szCs w:val="32"/>
        </w:rPr>
      </w:pPr>
      <w:r>
        <w:rPr>
          <w:rFonts w:hint="eastAsia" w:ascii="仿宋_GB2312" w:hAnsi="仿宋_GB2312" w:cs="仿宋_GB2312"/>
          <w:sz w:val="32"/>
          <w:szCs w:val="32"/>
        </w:rPr>
        <w:t>铅是一种能够在生物体内蓄积且排除缓慢的重金属污染物。《食品安全国家标准 食品中污染物限量》（GB 2762</w:t>
      </w:r>
      <w:r>
        <w:rPr>
          <w:rFonts w:hint="eastAsia" w:ascii="仿宋_GB2312" w:hAnsi="仿宋_GB2312" w:cs="仿宋_GB2312"/>
          <w:color w:val="0000FF"/>
          <w:sz w:val="32"/>
          <w:szCs w:val="32"/>
          <w:lang w:val="en-US" w:eastAsia="zh-CN"/>
        </w:rPr>
        <w:t>-</w:t>
      </w:r>
      <w:r>
        <w:rPr>
          <w:rFonts w:hint="eastAsia" w:ascii="仿宋_GB2312" w:hAnsi="仿宋_GB2312" w:cs="仿宋_GB2312"/>
          <w:sz w:val="32"/>
          <w:szCs w:val="32"/>
        </w:rPr>
        <w:t>201</w:t>
      </w:r>
      <w:r>
        <w:rPr>
          <w:rFonts w:hint="eastAsia" w:ascii="仿宋_GB2312" w:hAnsi="仿宋_GB2312" w:cs="仿宋_GB2312"/>
          <w:sz w:val="32"/>
          <w:szCs w:val="32"/>
          <w:lang w:val="en-US" w:eastAsia="zh-CN"/>
        </w:rPr>
        <w:t>7</w:t>
      </w:r>
      <w:r>
        <w:rPr>
          <w:rFonts w:hint="eastAsia" w:ascii="仿宋_GB2312" w:hAnsi="仿宋_GB2312" w:cs="仿宋_GB2312"/>
          <w:sz w:val="32"/>
          <w:szCs w:val="32"/>
        </w:rPr>
        <w:t>）中规定，</w:t>
      </w:r>
      <w:r>
        <w:rPr>
          <w:rFonts w:hint="eastAsia" w:ascii="仿宋_GB2312" w:hAnsi="仿宋" w:eastAsia="仿宋_GB2312"/>
          <w:sz w:val="32"/>
          <w:szCs w:val="32"/>
        </w:rPr>
        <w:t>干制蔬菜中的铅(以Pb计)应≤0.1/(1-脱水率)(mg/kg)。</w:t>
      </w:r>
      <w:r>
        <w:rPr>
          <w:rFonts w:hint="eastAsia" w:ascii="仿宋_GB2312" w:hAnsi="仿宋_GB2312" w:cs="仿宋_GB2312"/>
          <w:sz w:val="32"/>
          <w:szCs w:val="32"/>
        </w:rPr>
        <w:t>铅是一种慢性和积累性毒物。若长期或过多摄入铅含量超标的食品，铅会蓄积在体内，可能会影响大脑和神经系统，尤其会对儿童造成智力发育障碍和表现行为异常。重金属铅超标原因主要是环境污染带入原料，说明生产企业对原料把关不严，可能是使用了铅含量超标的原料，</w:t>
      </w:r>
      <w:r>
        <w:rPr>
          <w:rFonts w:hint="eastAsia" w:ascii="仿宋_GB2312" w:hAnsi="仿宋_GB2312" w:cs="仿宋_GB2312"/>
          <w:color w:val="auto"/>
          <w:sz w:val="32"/>
          <w:szCs w:val="32"/>
        </w:rPr>
        <w:t>也</w:t>
      </w:r>
      <w:r>
        <w:rPr>
          <w:rFonts w:hint="eastAsia" w:ascii="仿宋_GB2312" w:hAnsi="仿宋_GB2312" w:cs="仿宋_GB2312"/>
          <w:color w:val="auto"/>
          <w:sz w:val="32"/>
          <w:szCs w:val="32"/>
          <w:lang w:eastAsia="zh-CN"/>
        </w:rPr>
        <w:t>存在</w:t>
      </w:r>
      <w:r>
        <w:rPr>
          <w:rFonts w:hint="eastAsia" w:ascii="仿宋_GB2312" w:hAnsi="仿宋_GB2312" w:cs="仿宋_GB2312"/>
          <w:color w:val="auto"/>
          <w:sz w:val="32"/>
          <w:szCs w:val="32"/>
        </w:rPr>
        <w:t>从生产设备迁移入食品的可能。</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3"/>
        <w:textAlignment w:val="auto"/>
        <w:rPr>
          <w:rFonts w:hint="eastAsia" w:ascii="楷体_GB2312" w:hAnsi="楷体" w:eastAsia="楷体_GB2312" w:cs="楷体"/>
          <w:b/>
          <w:bCs/>
          <w:color w:val="auto"/>
          <w:szCs w:val="32"/>
          <w:shd w:val="clear" w:color="auto" w:fill="FFFFFF"/>
        </w:rPr>
      </w:pPr>
      <w:r>
        <w:rPr>
          <w:rFonts w:hint="eastAsia" w:ascii="楷体_GB2312" w:hAnsi="楷体" w:eastAsia="楷体_GB2312" w:cs="楷体"/>
          <w:b/>
          <w:bCs/>
          <w:color w:val="auto"/>
          <w:szCs w:val="32"/>
          <w:shd w:val="clear" w:color="auto" w:fill="FFFFFF"/>
          <w:lang w:val="en-US" w:eastAsia="zh-CN"/>
        </w:rPr>
        <w:t>(四)</w:t>
      </w:r>
      <w:r>
        <w:rPr>
          <w:rFonts w:hint="eastAsia" w:ascii="楷体_GB2312" w:hAnsi="楷体" w:eastAsia="楷体_GB2312" w:cs="楷体"/>
          <w:b/>
          <w:bCs/>
          <w:color w:val="auto"/>
          <w:szCs w:val="32"/>
          <w:shd w:val="clear" w:color="auto" w:fill="FFFFFF"/>
        </w:rPr>
        <w:t>谷氨酸钠</w:t>
      </w:r>
    </w:p>
    <w:p>
      <w:pPr>
        <w:spacing w:line="56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color w:val="auto"/>
          <w:kern w:val="2"/>
          <w:sz w:val="32"/>
          <w:szCs w:val="32"/>
          <w:lang w:val="en-US" w:eastAsia="zh-CN" w:bidi="ar-SA"/>
        </w:rPr>
        <w:t>《谷氨酸钠（味精）》（GB/T 8967-2007）中规定，味精中谷氨酸钠含量应≥99.0％。谷氨酸钠是反映味精鲜味的重要指标，不达标并不会对人体健康造成直接危害。但是味精的谷氨酸钠含量与其成本有着直接的关系，生产谷氨酸钠</w:t>
      </w:r>
      <w:r>
        <w:rPr>
          <w:rFonts w:hint="eastAsia" w:ascii="仿宋_GB2312" w:hAnsi="仿宋_GB2312" w:eastAsia="仿宋_GB2312" w:cs="仿宋_GB2312"/>
          <w:kern w:val="2"/>
          <w:sz w:val="32"/>
          <w:szCs w:val="32"/>
          <w:lang w:val="en-US" w:eastAsia="zh-CN" w:bidi="ar-SA"/>
        </w:rPr>
        <w:t>含量不达标的味精可能对消费者构成欺骗行为。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二、建议</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707" w:firstLineChars="220"/>
        <w:textAlignment w:val="auto"/>
        <w:rPr>
          <w:rFonts w:ascii="楷体_GB2312" w:hAnsi="楷体" w:eastAsia="楷体_GB2312"/>
          <w:b/>
          <w:sz w:val="32"/>
          <w:szCs w:val="32"/>
        </w:rPr>
      </w:pPr>
      <w:r>
        <w:rPr>
          <w:rFonts w:hint="eastAsia" w:ascii="楷体_GB2312" w:hAnsi="楷体" w:eastAsia="楷体_GB2312"/>
          <w:b/>
          <w:sz w:val="32"/>
          <w:szCs w:val="32"/>
        </w:rPr>
        <w:t>（一）加强原辅料的把控</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sz w:val="32"/>
          <w:szCs w:val="32"/>
        </w:rPr>
      </w:pPr>
      <w:r>
        <w:rPr>
          <w:rFonts w:hint="eastAsia" w:ascii="仿宋_GB2312" w:hAnsi="仿宋" w:eastAsia="仿宋_GB2312"/>
          <w:sz w:val="32"/>
          <w:szCs w:val="32"/>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auto"/>
        <w:rPr>
          <w:rStyle w:val="11"/>
          <w:rFonts w:ascii="楷体_GB2312" w:hAnsi="楷体" w:eastAsia="楷体_GB2312"/>
          <w:color w:val="auto"/>
          <w:sz w:val="32"/>
          <w:szCs w:val="32"/>
          <w:highlight w:val="none"/>
        </w:rPr>
      </w:pPr>
      <w:r>
        <w:rPr>
          <w:rFonts w:hint="eastAsia" w:ascii="楷体_GB2312" w:hAnsi="楷体" w:eastAsia="楷体_GB2312"/>
          <w:b/>
          <w:color w:val="auto"/>
          <w:sz w:val="32"/>
          <w:szCs w:val="32"/>
        </w:rPr>
        <w:t>（二）</w:t>
      </w:r>
      <w:r>
        <w:rPr>
          <w:rStyle w:val="11"/>
          <w:rFonts w:hint="eastAsia" w:ascii="楷体_GB2312" w:hAnsi="楷体" w:eastAsia="楷体_GB2312"/>
          <w:color w:val="auto"/>
          <w:sz w:val="32"/>
          <w:szCs w:val="32"/>
          <w:highlight w:val="none"/>
        </w:rPr>
        <w:t>提高食品添加剂安全使用意识</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部分食品生产经营者为了追求经济效益，对食品添加剂过于依赖，但对食品添加剂使用要求却执行不到位。因此</w:t>
      </w:r>
      <w:r>
        <w:rPr>
          <w:rFonts w:hint="eastAsia" w:ascii="仿宋_GB2312" w:hAnsi="仿宋" w:eastAsia="仿宋_GB2312"/>
          <w:color w:val="auto"/>
          <w:sz w:val="32"/>
          <w:szCs w:val="32"/>
          <w:highlight w:val="none"/>
          <w:lang w:eastAsia="zh-CN"/>
        </w:rPr>
        <w:t>应</w:t>
      </w:r>
      <w:r>
        <w:rPr>
          <w:rFonts w:hint="eastAsia" w:ascii="仿宋_GB2312" w:hAnsi="仿宋" w:eastAsia="仿宋_GB2312"/>
          <w:color w:val="auto"/>
          <w:sz w:val="32"/>
          <w:szCs w:val="32"/>
          <w:highlight w:val="none"/>
        </w:rPr>
        <w:t>落实企业主体，加大对食品生产企业关于食品添加剂的相关法律法规和国家标准知识的宣传力度，进一步宣贯违法添加和滥用食品添加剂行为的危害性以及通过加大惩处等措施来提高食品生产企业食品添加剂安全使用意识。</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textAlignment w:val="auto"/>
        <w:rPr>
          <w:rFonts w:ascii="楷体_GB2312" w:hAnsi="楷体" w:eastAsia="楷体_GB2312"/>
          <w:b/>
          <w:color w:val="auto"/>
          <w:sz w:val="32"/>
          <w:szCs w:val="32"/>
        </w:rPr>
      </w:pPr>
      <w:r>
        <w:rPr>
          <w:rFonts w:hint="eastAsia" w:ascii="楷体_GB2312" w:hAnsi="楷体" w:eastAsia="楷体_GB2312"/>
          <w:b/>
          <w:color w:val="auto"/>
          <w:sz w:val="32"/>
          <w:szCs w:val="32"/>
        </w:rPr>
        <w:t>（</w:t>
      </w:r>
      <w:r>
        <w:rPr>
          <w:rFonts w:hint="eastAsia" w:ascii="楷体_GB2312" w:hAnsi="楷体" w:eastAsia="楷体_GB2312"/>
          <w:b/>
          <w:color w:val="auto"/>
          <w:sz w:val="32"/>
          <w:szCs w:val="32"/>
          <w:lang w:eastAsia="zh-CN"/>
        </w:rPr>
        <w:t>三</w:t>
      </w:r>
      <w:r>
        <w:rPr>
          <w:rFonts w:hint="eastAsia" w:ascii="楷体_GB2312" w:hAnsi="楷体" w:eastAsia="楷体_GB2312"/>
          <w:b/>
          <w:color w:val="auto"/>
          <w:sz w:val="32"/>
          <w:szCs w:val="32"/>
        </w:rPr>
        <w:t>）加强食品出厂检验</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eastAsia="仿宋_GB2312"/>
          <w:color w:val="auto"/>
          <w:sz w:val="32"/>
          <w:szCs w:val="32"/>
        </w:rPr>
        <w:t>食品生产企业要强化重视出厂检验的意识，制定切合自身且不断完善的出厂检验制度；建立完善的检测条件针对自身产品进行日常监管，制定出厂检验计划并严格执行，确保生产合格的产品；加强对生产的成品的检测频率，进行自检或送往具有相关资质的检测机构进行检测；建立健全产品召回机制，应对突发产品质量问题。</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cs="仿宋_GB2312"/>
          <w:sz w:val="32"/>
          <w:szCs w:val="32"/>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方正小标宋简体">
    <w:panose1 w:val="02000000000000000000"/>
    <w:charset w:val="86"/>
    <w:family w:val="script"/>
    <w:pitch w:val="default"/>
    <w:sig w:usb0="00000001" w:usb1="08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0D4506"/>
    <w:rsid w:val="006B1DCC"/>
    <w:rsid w:val="00724BD2"/>
    <w:rsid w:val="008D6C99"/>
    <w:rsid w:val="00B977A2"/>
    <w:rsid w:val="010D4506"/>
    <w:rsid w:val="017D0269"/>
    <w:rsid w:val="03E020C5"/>
    <w:rsid w:val="03FD00B3"/>
    <w:rsid w:val="055921C9"/>
    <w:rsid w:val="07C82C95"/>
    <w:rsid w:val="081209FA"/>
    <w:rsid w:val="091C5D20"/>
    <w:rsid w:val="0A101FAB"/>
    <w:rsid w:val="0AEA5DCE"/>
    <w:rsid w:val="0C455D22"/>
    <w:rsid w:val="0C6F4539"/>
    <w:rsid w:val="0CD4225F"/>
    <w:rsid w:val="0EA93008"/>
    <w:rsid w:val="0EC839C2"/>
    <w:rsid w:val="10AD16A7"/>
    <w:rsid w:val="1162065F"/>
    <w:rsid w:val="11B32DA0"/>
    <w:rsid w:val="11CE6913"/>
    <w:rsid w:val="12AF7645"/>
    <w:rsid w:val="12B51B83"/>
    <w:rsid w:val="139A1CB2"/>
    <w:rsid w:val="141B2394"/>
    <w:rsid w:val="155219D3"/>
    <w:rsid w:val="15FE7C46"/>
    <w:rsid w:val="16396F4B"/>
    <w:rsid w:val="16A52765"/>
    <w:rsid w:val="176818BF"/>
    <w:rsid w:val="17FA5E44"/>
    <w:rsid w:val="181E6360"/>
    <w:rsid w:val="199008F8"/>
    <w:rsid w:val="19EB104A"/>
    <w:rsid w:val="1B042E72"/>
    <w:rsid w:val="1C2B3ECE"/>
    <w:rsid w:val="1EFD4E3F"/>
    <w:rsid w:val="1F456A61"/>
    <w:rsid w:val="200B2815"/>
    <w:rsid w:val="231A399D"/>
    <w:rsid w:val="249A66FD"/>
    <w:rsid w:val="255973C6"/>
    <w:rsid w:val="257D0D7B"/>
    <w:rsid w:val="25D84592"/>
    <w:rsid w:val="274815F0"/>
    <w:rsid w:val="27D171E0"/>
    <w:rsid w:val="282A264F"/>
    <w:rsid w:val="29292876"/>
    <w:rsid w:val="29DF09A6"/>
    <w:rsid w:val="2D2D024C"/>
    <w:rsid w:val="2DA27B95"/>
    <w:rsid w:val="2E172668"/>
    <w:rsid w:val="2F4F707A"/>
    <w:rsid w:val="2FFC71C6"/>
    <w:rsid w:val="323F00BC"/>
    <w:rsid w:val="324700B2"/>
    <w:rsid w:val="348E513C"/>
    <w:rsid w:val="36A26439"/>
    <w:rsid w:val="38622AFA"/>
    <w:rsid w:val="387272BF"/>
    <w:rsid w:val="38865B2F"/>
    <w:rsid w:val="3B1904CB"/>
    <w:rsid w:val="3BAB1A67"/>
    <w:rsid w:val="3BFE4DC9"/>
    <w:rsid w:val="3CDD7A17"/>
    <w:rsid w:val="3E051E67"/>
    <w:rsid w:val="3E1079E4"/>
    <w:rsid w:val="3E88008E"/>
    <w:rsid w:val="3E984FE9"/>
    <w:rsid w:val="3EC80CDE"/>
    <w:rsid w:val="3F033412"/>
    <w:rsid w:val="3F685D87"/>
    <w:rsid w:val="44141429"/>
    <w:rsid w:val="460F4F06"/>
    <w:rsid w:val="464A4562"/>
    <w:rsid w:val="4848609B"/>
    <w:rsid w:val="4864409A"/>
    <w:rsid w:val="48E60C18"/>
    <w:rsid w:val="49346CC6"/>
    <w:rsid w:val="4B37566A"/>
    <w:rsid w:val="4DAC348D"/>
    <w:rsid w:val="4EBC0748"/>
    <w:rsid w:val="4FE23640"/>
    <w:rsid w:val="4FED4605"/>
    <w:rsid w:val="503305EE"/>
    <w:rsid w:val="52A0415B"/>
    <w:rsid w:val="52FE47AC"/>
    <w:rsid w:val="533A17A5"/>
    <w:rsid w:val="53465E28"/>
    <w:rsid w:val="53FD7C6B"/>
    <w:rsid w:val="551B6EF1"/>
    <w:rsid w:val="59E33FF0"/>
    <w:rsid w:val="59EA54F5"/>
    <w:rsid w:val="5C000884"/>
    <w:rsid w:val="5C240B88"/>
    <w:rsid w:val="5E214E94"/>
    <w:rsid w:val="5E7004E1"/>
    <w:rsid w:val="5ECD4C7F"/>
    <w:rsid w:val="6048573D"/>
    <w:rsid w:val="62547A4D"/>
    <w:rsid w:val="638239E5"/>
    <w:rsid w:val="63E10B0C"/>
    <w:rsid w:val="6537764C"/>
    <w:rsid w:val="65E578BD"/>
    <w:rsid w:val="668A5EDC"/>
    <w:rsid w:val="67180D7A"/>
    <w:rsid w:val="67663F7B"/>
    <w:rsid w:val="6792245C"/>
    <w:rsid w:val="67AC56C6"/>
    <w:rsid w:val="6801069F"/>
    <w:rsid w:val="69130912"/>
    <w:rsid w:val="69CB77D8"/>
    <w:rsid w:val="6A323B2C"/>
    <w:rsid w:val="6C2646D1"/>
    <w:rsid w:val="6C721C9A"/>
    <w:rsid w:val="6C942E03"/>
    <w:rsid w:val="6D731B27"/>
    <w:rsid w:val="6E9610D2"/>
    <w:rsid w:val="6ECD36FF"/>
    <w:rsid w:val="6F1957D5"/>
    <w:rsid w:val="72A04A1F"/>
    <w:rsid w:val="72F24D9D"/>
    <w:rsid w:val="733275F5"/>
    <w:rsid w:val="738026E3"/>
    <w:rsid w:val="754B170B"/>
    <w:rsid w:val="75CA36CA"/>
    <w:rsid w:val="763955BF"/>
    <w:rsid w:val="77FC16E5"/>
    <w:rsid w:val="78FE0A2F"/>
    <w:rsid w:val="7A7C11A9"/>
    <w:rsid w:val="7B5E04A9"/>
    <w:rsid w:val="7C073518"/>
    <w:rsid w:val="7F270D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4">
    <w:name w:val="heading 1"/>
    <w:basedOn w:val="1"/>
    <w:next w:val="1"/>
    <w:qFormat/>
    <w:uiPriority w:val="0"/>
    <w:pPr>
      <w:keepNext/>
      <w:keepLines/>
      <w:spacing w:before="340" w:after="330" w:line="576" w:lineRule="auto"/>
      <w:outlineLvl w:val="0"/>
    </w:pPr>
    <w:rPr>
      <w:rFonts w:eastAsia="楷体_GB2312"/>
      <w:b/>
      <w:kern w:val="44"/>
    </w:rPr>
  </w:style>
  <w:style w:type="paragraph" w:styleId="5">
    <w:name w:val="heading 2"/>
    <w:basedOn w:val="1"/>
    <w:next w:val="1"/>
    <w:link w:val="16"/>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before="0"/>
      <w:ind w:left="420" w:leftChars="200" w:firstLine="420"/>
    </w:pPr>
  </w:style>
  <w:style w:type="paragraph" w:styleId="3">
    <w:name w:val="Body Text Indent"/>
    <w:basedOn w:val="1"/>
    <w:qFormat/>
    <w:uiPriority w:val="0"/>
    <w:pPr>
      <w:spacing w:before="120" w:after="120"/>
      <w:ind w:firstLine="480"/>
    </w:pPr>
    <w:rPr>
      <w:rFonts w:ascii="宋体" w:hAnsi="宋体"/>
      <w:sz w:val="24"/>
      <w:szCs w:val="20"/>
    </w:rPr>
  </w:style>
  <w:style w:type="paragraph" w:styleId="6">
    <w:name w:val="footer"/>
    <w:basedOn w:val="1"/>
    <w:link w:val="15"/>
    <w:qFormat/>
    <w:uiPriority w:val="0"/>
    <w:pPr>
      <w:tabs>
        <w:tab w:val="center" w:pos="4153"/>
        <w:tab w:val="right" w:pos="8306"/>
      </w:tabs>
      <w:snapToGrid w:val="0"/>
      <w:jc w:val="left"/>
    </w:pPr>
    <w:rPr>
      <w:sz w:val="18"/>
      <w:szCs w:val="18"/>
    </w:rPr>
  </w:style>
  <w:style w:type="paragraph" w:styleId="7">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character" w:styleId="11">
    <w:name w:val="Strong"/>
    <w:basedOn w:val="10"/>
    <w:qFormat/>
    <w:uiPriority w:val="22"/>
    <w:rPr>
      <w:b/>
      <w:bCs/>
    </w:rPr>
  </w:style>
  <w:style w:type="character" w:styleId="12">
    <w:name w:val="Hyperlink"/>
    <w:basedOn w:val="10"/>
    <w:qFormat/>
    <w:uiPriority w:val="0"/>
    <w:rPr>
      <w:color w:val="0000FF"/>
      <w:u w:val="single"/>
    </w:rPr>
  </w:style>
  <w:style w:type="paragraph" w:customStyle="1" w:styleId="13">
    <w:name w:val="本文正文"/>
    <w:basedOn w:val="1"/>
    <w:qFormat/>
    <w:uiPriority w:val="0"/>
    <w:pPr>
      <w:spacing w:line="360" w:lineRule="auto"/>
      <w:ind w:firstLine="803"/>
    </w:pPr>
    <w:rPr>
      <w:rFonts w:ascii="宋体" w:hAnsi="宋体"/>
      <w:sz w:val="24"/>
    </w:rPr>
  </w:style>
  <w:style w:type="character" w:customStyle="1" w:styleId="14">
    <w:name w:val="页眉 字符"/>
    <w:basedOn w:val="10"/>
    <w:link w:val="7"/>
    <w:qFormat/>
    <w:uiPriority w:val="0"/>
    <w:rPr>
      <w:rFonts w:ascii="Calibri" w:hAnsi="Calibri" w:eastAsia="仿宋_GB2312"/>
      <w:kern w:val="2"/>
      <w:sz w:val="18"/>
      <w:szCs w:val="18"/>
    </w:rPr>
  </w:style>
  <w:style w:type="character" w:customStyle="1" w:styleId="15">
    <w:name w:val="页脚 字符"/>
    <w:basedOn w:val="10"/>
    <w:link w:val="6"/>
    <w:qFormat/>
    <w:uiPriority w:val="0"/>
    <w:rPr>
      <w:rFonts w:ascii="Calibri" w:hAnsi="Calibri" w:eastAsia="仿宋_GB2312"/>
      <w:kern w:val="2"/>
      <w:sz w:val="18"/>
      <w:szCs w:val="18"/>
    </w:rPr>
  </w:style>
  <w:style w:type="character" w:customStyle="1" w:styleId="16">
    <w:name w:val="标题 2 字符"/>
    <w:basedOn w:val="10"/>
    <w:link w:val="5"/>
    <w:semiHidden/>
    <w:qFormat/>
    <w:uiPriority w:val="0"/>
    <w:rPr>
      <w:rFonts w:asciiTheme="majorHAnsi" w:hAnsiTheme="majorHAnsi" w:eastAsiaTheme="majorEastAsia" w:cstheme="majorBidi"/>
      <w:b/>
      <w:bCs/>
      <w:kern w:val="2"/>
      <w:sz w:val="32"/>
      <w:szCs w:val="32"/>
    </w:rPr>
  </w:style>
  <w:style w:type="paragraph" w:customStyle="1" w:styleId="17">
    <w:name w:val="列出段落2"/>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8</Pages>
  <Words>600</Words>
  <Characters>3426</Characters>
  <Lines>28</Lines>
  <Paragraphs>8</Paragraphs>
  <TotalTime>1</TotalTime>
  <ScaleCrop>false</ScaleCrop>
  <LinksUpToDate>false</LinksUpToDate>
  <CharactersWithSpaces>4018</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2020-12-18T06:54:00Z</dcterms:created>
  <dc:creator>zhenyongwen</dc:creator>
  <cp:lastModifiedBy>韦慧勤</cp:lastModifiedBy>
  <dcterms:modified xsi:type="dcterms:W3CDTF">2021-04-23T03:35:41Z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2BCBADEB164F420AB7CA92621D404113</vt:lpwstr>
  </property>
</Properties>
</file>