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jc w:val="left"/>
        <w:textAlignment w:val="auto"/>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（一）</w:t>
      </w:r>
      <w:r>
        <w:rPr>
          <w:rFonts w:ascii="楷体_GB2312" w:hAnsi="宋体" w:eastAsia="楷体_GB2312" w:cs="宋体"/>
          <w:b/>
          <w:kern w:val="0"/>
          <w:sz w:val="32"/>
          <w:szCs w:val="32"/>
        </w:rPr>
        <w:t>过氧化值</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宋体"/>
          <w:color w:val="auto"/>
          <w:kern w:val="0"/>
          <w:sz w:val="32"/>
          <w:szCs w:val="32"/>
          <w:lang w:val="zh-CN"/>
        </w:rPr>
      </w:pPr>
      <w:r>
        <w:rPr>
          <w:rFonts w:ascii="仿宋_GB2312" w:hAnsi="仿宋" w:eastAsia="仿宋_GB2312" w:cs="宋体"/>
          <w:kern w:val="0"/>
          <w:sz w:val="32"/>
          <w:szCs w:val="32"/>
          <w:lang w:val="zh-CN"/>
        </w:rPr>
        <w:t>过氧化值（以脂肪计）主要反映食品中油脂是否氧化变质。随着油脂氧化，过氧化值会逐步升高，虽一般不会对人体的健康产生损害，但严重时会导致肠胃不适、腹泻等症状。</w:t>
      </w:r>
      <w:r>
        <w:rPr>
          <w:rFonts w:hint="eastAsia" w:ascii="仿宋_GB2312" w:hAnsi="仿宋" w:eastAsia="仿宋_GB2312" w:cs="仿宋"/>
          <w:sz w:val="32"/>
          <w:szCs w:val="32"/>
        </w:rPr>
        <w:t>《食品安全国家标准 腌腊肉制品》（GB 2730-2015）中规定，腌腊肉制品的过氧化值(以脂肪计)应≤0.5g/100g。</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w:t>
      </w:r>
      <w:r>
        <w:rPr>
          <w:rFonts w:hint="eastAsia" w:ascii="仿宋_GB2312" w:hAnsi="仿宋" w:eastAsia="仿宋_GB2312"/>
          <w:sz w:val="32"/>
          <w:szCs w:val="32"/>
        </w:rPr>
        <w:t>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ascii="仿宋_GB2312" w:hAnsi="仿宋" w:eastAsia="仿宋_GB2312" w:cs="宋体"/>
          <w:kern w:val="0"/>
          <w:sz w:val="32"/>
          <w:szCs w:val="32"/>
          <w:lang w:val="zh-CN"/>
        </w:rPr>
        <w:t>过氧化值超标的原因，可能</w:t>
      </w:r>
      <w:r>
        <w:rPr>
          <w:rFonts w:ascii="仿宋_GB2312" w:hAnsi="仿宋" w:eastAsia="仿宋_GB2312" w:cs="宋体"/>
          <w:color w:val="auto"/>
          <w:kern w:val="0"/>
          <w:sz w:val="32"/>
          <w:szCs w:val="32"/>
          <w:lang w:val="zh-CN"/>
        </w:rPr>
        <w:t>是</w:t>
      </w:r>
      <w:r>
        <w:rPr>
          <w:rFonts w:hint="eastAsia" w:ascii="仿宋_GB2312" w:hAnsi="仿宋" w:cs="宋体"/>
          <w:color w:val="auto"/>
          <w:kern w:val="0"/>
          <w:sz w:val="32"/>
          <w:szCs w:val="32"/>
          <w:lang w:val="zh-CN"/>
        </w:rPr>
        <w:t>产品因</w:t>
      </w:r>
      <w:r>
        <w:rPr>
          <w:rFonts w:ascii="仿宋_GB2312" w:hAnsi="仿宋" w:eastAsia="仿宋_GB2312" w:cs="宋体"/>
          <w:color w:val="auto"/>
          <w:kern w:val="0"/>
          <w:sz w:val="32"/>
          <w:szCs w:val="32"/>
          <w:lang w:val="zh-CN"/>
        </w:rPr>
        <w:t>储存不当导致</w:t>
      </w:r>
      <w:r>
        <w:rPr>
          <w:rFonts w:hint="eastAsia" w:ascii="仿宋_GB2312" w:hAnsi="仿宋" w:cs="宋体"/>
          <w:color w:val="auto"/>
          <w:kern w:val="0"/>
          <w:sz w:val="32"/>
          <w:szCs w:val="32"/>
          <w:lang w:val="zh-CN"/>
        </w:rPr>
        <w:t>其中的</w:t>
      </w:r>
      <w:r>
        <w:rPr>
          <w:rFonts w:ascii="仿宋_GB2312" w:hAnsi="仿宋" w:eastAsia="仿宋_GB2312" w:cs="宋体"/>
          <w:color w:val="auto"/>
          <w:kern w:val="0"/>
          <w:sz w:val="32"/>
          <w:szCs w:val="32"/>
          <w:lang w:val="zh-CN"/>
        </w:rPr>
        <w:t>脂肪氧化</w:t>
      </w:r>
      <w:r>
        <w:rPr>
          <w:rFonts w:hint="eastAsia" w:ascii="仿宋_GB2312" w:hAnsi="仿宋" w:cs="宋体"/>
          <w:color w:val="auto"/>
          <w:kern w:val="0"/>
          <w:sz w:val="32"/>
          <w:szCs w:val="32"/>
          <w:lang w:val="zh-CN"/>
        </w:rPr>
        <w:t>或</w:t>
      </w:r>
      <w:r>
        <w:rPr>
          <w:rFonts w:ascii="仿宋_GB2312" w:hAnsi="仿宋" w:eastAsia="仿宋_GB2312" w:cs="宋体"/>
          <w:color w:val="auto"/>
          <w:kern w:val="0"/>
          <w:sz w:val="32"/>
          <w:szCs w:val="32"/>
          <w:lang w:val="zh-CN"/>
        </w:rPr>
        <w:t>生产用油变质，或</w:t>
      </w:r>
      <w:r>
        <w:rPr>
          <w:rFonts w:hint="eastAsia" w:ascii="仿宋_GB2312" w:hAnsi="仿宋" w:cs="宋体"/>
          <w:color w:val="auto"/>
          <w:kern w:val="0"/>
          <w:sz w:val="32"/>
          <w:szCs w:val="32"/>
          <w:lang w:val="zh-CN"/>
        </w:rPr>
        <w:t>因产品</w:t>
      </w:r>
      <w:r>
        <w:rPr>
          <w:rFonts w:ascii="仿宋_GB2312" w:hAnsi="仿宋" w:eastAsia="仿宋_GB2312" w:cs="宋体"/>
          <w:color w:val="auto"/>
          <w:kern w:val="0"/>
          <w:sz w:val="32"/>
          <w:szCs w:val="32"/>
          <w:lang w:val="zh-CN"/>
        </w:rPr>
        <w:t>漏气、储存过程中环境条件控制不当</w:t>
      </w:r>
      <w:r>
        <w:rPr>
          <w:rFonts w:hint="eastAsia" w:ascii="仿宋_GB2312" w:hAnsi="仿宋" w:cs="宋体"/>
          <w:color w:val="auto"/>
          <w:kern w:val="0"/>
          <w:sz w:val="32"/>
          <w:szCs w:val="32"/>
          <w:lang w:val="zh-CN"/>
        </w:rPr>
        <w:t>而</w:t>
      </w:r>
      <w:r>
        <w:rPr>
          <w:rFonts w:ascii="仿宋_GB2312" w:hAnsi="仿宋" w:eastAsia="仿宋_GB2312" w:cs="宋体"/>
          <w:color w:val="auto"/>
          <w:kern w:val="0"/>
          <w:sz w:val="32"/>
          <w:szCs w:val="32"/>
          <w:lang w:val="zh-CN"/>
        </w:rPr>
        <w:t>导致。</w:t>
      </w:r>
    </w:p>
    <w:p>
      <w:pPr>
        <w:spacing w:line="560" w:lineRule="exact"/>
        <w:ind w:firstLine="745" w:firstLineChars="232"/>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二</w:t>
      </w:r>
      <w:r>
        <w:rPr>
          <w:rFonts w:hint="eastAsia" w:ascii="楷体_GB2312" w:hAnsi="楷体" w:eastAsia="楷体_GB2312" w:cs="仿宋_GB2312"/>
          <w:b/>
          <w:color w:val="000000"/>
          <w:sz w:val="32"/>
          <w:szCs w:val="32"/>
        </w:rPr>
        <w:t>）</w:t>
      </w:r>
      <w:r>
        <w:rPr>
          <w:rFonts w:hint="eastAsia" w:ascii="楷体_GB2312" w:hAnsi="楷体" w:eastAsia="楷体_GB2312" w:cs="宋体"/>
          <w:b/>
          <w:color w:val="000000"/>
          <w:kern w:val="0"/>
          <w:sz w:val="32"/>
          <w:szCs w:val="32"/>
        </w:rPr>
        <w:t>铝的残留量</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铝作为食品添加剂硫酸铝钾/硫酸铝铵的重要成分，经常会添加在食物中作为膨松剂或稳定剂。</w:t>
      </w:r>
      <w:r>
        <w:rPr>
          <w:rFonts w:hint="eastAsia" w:ascii="仿宋_GB2312" w:hAnsi="仿宋" w:eastAsia="仿宋_GB2312"/>
          <w:sz w:val="32"/>
          <w:szCs w:val="32"/>
        </w:rPr>
        <w:t>《食品安全国家标准 食品添加剂使用标准》（GB 2760-2014）中规定，</w:t>
      </w:r>
      <w:r>
        <w:rPr>
          <w:rFonts w:hint="eastAsia" w:ascii="仿宋_GB2312" w:hAnsi="仿宋" w:cs="仿宋_GB2312"/>
          <w:sz w:val="32"/>
          <w:szCs w:val="32"/>
          <w:lang w:eastAsia="zh-CN"/>
        </w:rPr>
        <w:t>油炸面制品</w:t>
      </w:r>
      <w:r>
        <w:rPr>
          <w:rFonts w:hint="eastAsia" w:ascii="仿宋_GB2312" w:hAnsi="仿宋" w:eastAsia="仿宋_GB2312" w:cs="仿宋_GB2312"/>
          <w:sz w:val="32"/>
          <w:szCs w:val="32"/>
        </w:rPr>
        <w:t>中的铝的残留量(干样品，以Al计)应≤</w:t>
      </w:r>
      <w:r>
        <w:rPr>
          <w:rFonts w:hint="eastAsia" w:ascii="仿宋_GB2312" w:hAnsi="仿宋" w:cs="仿宋_GB2312"/>
          <w:sz w:val="32"/>
          <w:szCs w:val="32"/>
          <w:lang w:val="en-US" w:eastAsia="zh-CN"/>
        </w:rPr>
        <w:t>1</w:t>
      </w:r>
      <w:r>
        <w:rPr>
          <w:rFonts w:hint="eastAsia" w:ascii="仿宋_GB2312" w:hAnsi="仿宋" w:eastAsia="仿宋_GB2312" w:cs="仿宋_GB2312"/>
          <w:sz w:val="32"/>
          <w:szCs w:val="32"/>
        </w:rPr>
        <w:t>00mg/kg</w:t>
      </w:r>
      <w:r>
        <w:rPr>
          <w:rFonts w:hint="eastAsia" w:ascii="仿宋_GB2312" w:hAnsi="仿宋" w:cs="仿宋_GB2312"/>
          <w:sz w:val="32"/>
          <w:szCs w:val="32"/>
          <w:lang w:val="en-US" w:eastAsia="zh-CN"/>
        </w:rPr>
        <w:t>;</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中的铝的残留量(干样品，以Al计)应≤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w:t>
      </w:r>
      <w:r>
        <w:rPr>
          <w:rFonts w:hint="eastAsia" w:ascii="仿宋_GB2312" w:hAnsi="仿宋" w:eastAsia="仿宋_GB2312"/>
          <w:sz w:val="32"/>
          <w:szCs w:val="32"/>
        </w:rPr>
        <w:t>本次不合格</w:t>
      </w:r>
      <w:r>
        <w:rPr>
          <w:rFonts w:hint="eastAsia" w:ascii="仿宋_GB2312" w:hAnsi="仿宋"/>
          <w:sz w:val="32"/>
          <w:szCs w:val="32"/>
          <w:lang w:eastAsia="zh-CN"/>
        </w:rPr>
        <w:t>的水晶粉丝</w:t>
      </w:r>
      <w:r>
        <w:rPr>
          <w:rFonts w:hint="eastAsia" w:ascii="仿宋_GB2312" w:hAnsi="仿宋" w:eastAsia="仿宋_GB2312"/>
          <w:sz w:val="32"/>
          <w:szCs w:val="32"/>
        </w:rPr>
        <w:t>样品标签明示</w:t>
      </w:r>
      <w:r>
        <w:rPr>
          <w:rFonts w:hint="eastAsia" w:ascii="仿宋_GB2312" w:hAnsi="仿宋"/>
          <w:sz w:val="32"/>
          <w:szCs w:val="32"/>
          <w:lang w:eastAsia="zh-CN"/>
        </w:rPr>
        <w:t>不得使用铝类食品添加剂。</w:t>
      </w:r>
      <w:r>
        <w:rPr>
          <w:rFonts w:hint="eastAsia" w:ascii="仿宋_GB2312" w:hAnsi="仿宋" w:eastAsia="仿宋_GB2312" w:cs="仿宋_GB2312"/>
          <w:sz w:val="32"/>
          <w:szCs w:val="32"/>
        </w:rPr>
        <w:t>铝有一定的慢性毒性，摄入铝超标的食品，在体内可造成铝的蓄积，轻者会使食欲减退，引起贫血，重者会表现为神经毒性，使人运动失调、记忆力衰退等。</w:t>
      </w:r>
    </w:p>
    <w:p>
      <w:pPr>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三</w:t>
      </w:r>
      <w:r>
        <w:rPr>
          <w:rFonts w:hint="eastAsia" w:ascii="楷体_GB2312" w:hAnsi="宋体" w:eastAsia="楷体_GB2312" w:cs="宋体"/>
          <w:b/>
          <w:kern w:val="0"/>
          <w:sz w:val="32"/>
          <w:szCs w:val="32"/>
        </w:rPr>
        <w:t>）五氯酚酸钠</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sz w:val="32"/>
          <w:szCs w:val="32"/>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w:t>
      </w:r>
      <w:r>
        <w:rPr>
          <w:rFonts w:hint="eastAsia" w:ascii="楷体_GB2312" w:hAnsi="楷体" w:eastAsia="楷体_GB2312" w:cs="仿宋_GB2312"/>
          <w:b/>
          <w:sz w:val="32"/>
          <w:szCs w:val="32"/>
          <w:lang w:eastAsia="zh-CN"/>
        </w:rPr>
        <w:t>四</w:t>
      </w:r>
      <w:r>
        <w:rPr>
          <w:rFonts w:hint="eastAsia" w:ascii="楷体_GB2312" w:hAnsi="楷体" w:eastAsia="楷体_GB2312" w:cs="仿宋_GB2312"/>
          <w:b/>
          <w:sz w:val="32"/>
          <w:szCs w:val="32"/>
        </w:rPr>
        <w:t>）脱氢乙酸及其钠盐</w:t>
      </w:r>
    </w:p>
    <w:p>
      <w:pPr>
        <w:spacing w:line="560" w:lineRule="exact"/>
        <w:ind w:firstLine="640" w:firstLineChars="200"/>
        <w:rPr>
          <w:rFonts w:hint="eastAsia" w:ascii="仿宋_GB2312" w:hAnsi="仿宋" w:eastAsia="仿宋_GB2312" w:cs="宋体"/>
          <w:kern w:val="0"/>
          <w:sz w:val="32"/>
          <w:szCs w:val="32"/>
          <w:lang w:val="zh-CN"/>
        </w:rPr>
      </w:pPr>
      <w:r>
        <w:rPr>
          <w:rFonts w:hint="eastAsia" w:ascii="仿宋_GB2312" w:hAnsi="仿宋" w:eastAsia="仿宋_GB2312"/>
          <w:color w:val="auto"/>
          <w:sz w:val="32"/>
          <w:szCs w:val="32"/>
        </w:rPr>
        <w:t>脱氢乙酸及其钠盐因对霉菌具有较强的抑制作用而被广泛用作防腐剂使用。《食品安全国家标准 食品添加剂使用标准》（GB 2760-2014）中规定，</w:t>
      </w:r>
      <w:r>
        <w:rPr>
          <w:rFonts w:hint="eastAsia" w:ascii="仿宋_GB2312" w:hAnsi="仿宋"/>
          <w:color w:val="auto"/>
          <w:sz w:val="32"/>
          <w:szCs w:val="32"/>
          <w:lang w:eastAsia="zh-CN"/>
        </w:rPr>
        <w:t>米粉制品</w:t>
      </w:r>
      <w:r>
        <w:rPr>
          <w:rFonts w:hint="eastAsia" w:ascii="仿宋_GB2312" w:hAnsi="仿宋" w:eastAsia="仿宋_GB2312"/>
          <w:color w:val="auto"/>
          <w:sz w:val="32"/>
          <w:szCs w:val="32"/>
        </w:rPr>
        <w:t>中不得使用脱氢乙酸及其钠盐</w:t>
      </w:r>
      <w:r>
        <w:rPr>
          <w:rFonts w:hint="eastAsia" w:ascii="仿宋_GB2312" w:hAnsi="仿宋"/>
          <w:color w:val="auto"/>
          <w:sz w:val="32"/>
          <w:szCs w:val="32"/>
          <w:lang w:eastAsia="zh-CN"/>
        </w:rPr>
        <w:t>；糕点中</w:t>
      </w:r>
      <w:r>
        <w:rPr>
          <w:rFonts w:hint="eastAsia" w:ascii="仿宋_GB2312" w:hAnsi="仿宋" w:eastAsia="仿宋_GB2312"/>
          <w:color w:val="auto"/>
          <w:sz w:val="32"/>
          <w:szCs w:val="32"/>
        </w:rPr>
        <w:t>脱氢乙酸及其钠盐</w:t>
      </w:r>
      <w:r>
        <w:rPr>
          <w:rFonts w:hint="eastAsia" w:ascii="仿宋_GB2312" w:hAnsi="仿宋"/>
          <w:color w:val="auto"/>
          <w:sz w:val="32"/>
          <w:szCs w:val="32"/>
          <w:lang w:eastAsia="zh-CN"/>
        </w:rPr>
        <w:t>应</w:t>
      </w:r>
      <w:r>
        <w:rPr>
          <w:rFonts w:hint="eastAsia" w:ascii="仿宋_GB2312" w:hAnsi="仿宋" w:eastAsia="仿宋_GB2312" w:cs="仿宋_GB2312"/>
          <w:sz w:val="32"/>
          <w:szCs w:val="32"/>
        </w:rPr>
        <w:t>≤</w:t>
      </w:r>
      <w:r>
        <w:rPr>
          <w:rFonts w:hint="eastAsia" w:ascii="仿宋_GB2312" w:hAnsi="仿宋" w:cs="仿宋_GB2312"/>
          <w:sz w:val="32"/>
          <w:szCs w:val="32"/>
          <w:lang w:val="en-US" w:eastAsia="zh-CN"/>
        </w:rPr>
        <w:t>0.5</w:t>
      </w:r>
      <w:r>
        <w:rPr>
          <w:rFonts w:hint="eastAsia" w:ascii="仿宋_GB2312" w:hAnsi="仿宋" w:eastAsia="仿宋_GB2312" w:cs="仿宋_GB2312"/>
          <w:sz w:val="32"/>
          <w:szCs w:val="32"/>
        </w:rPr>
        <w:t>g/kg</w:t>
      </w:r>
      <w:r>
        <w:rPr>
          <w:rFonts w:hint="eastAsia" w:ascii="仿宋_GB2312" w:hAnsi="仿宋" w:eastAsia="仿宋_GB2312"/>
          <w:color w:val="auto"/>
          <w:sz w:val="32"/>
          <w:szCs w:val="32"/>
        </w:rPr>
        <w:t>。</w:t>
      </w:r>
      <w:r>
        <w:rPr>
          <w:rFonts w:hint="eastAsia" w:ascii="仿宋_GB2312" w:hAnsi="仿宋" w:eastAsia="仿宋_GB2312" w:cs="宋体"/>
          <w:color w:val="auto"/>
          <w:kern w:val="0"/>
          <w:sz w:val="32"/>
          <w:szCs w:val="32"/>
          <w:lang w:val="zh-CN"/>
        </w:rPr>
        <w:t>由于脱氢乙酸可与血浆中的白蛋白或组织中蛋白质的胺基结合，若长期过</w:t>
      </w:r>
      <w:r>
        <w:rPr>
          <w:rFonts w:hint="eastAsia" w:ascii="仿宋_GB2312" w:hAnsi="仿宋" w:eastAsia="仿宋_GB2312" w:cs="宋体"/>
          <w:kern w:val="0"/>
          <w:sz w:val="32"/>
          <w:szCs w:val="32"/>
          <w:lang w:val="zh-CN"/>
        </w:rPr>
        <w:t>量食用脱氢乙酸含量超标的食品可能会引起肝、肾和中枢神经系统的损伤。</w:t>
      </w:r>
    </w:p>
    <w:p>
      <w:pPr>
        <w:widowControl/>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五</w:t>
      </w:r>
      <w:bookmarkStart w:id="0" w:name="_GoBack"/>
      <w:bookmarkEnd w:id="0"/>
      <w:r>
        <w:rPr>
          <w:rFonts w:hint="eastAsia" w:ascii="楷体_GB2312" w:hAnsi="宋体" w:eastAsia="楷体_GB2312" w:cs="宋体"/>
          <w:b/>
          <w:kern w:val="0"/>
          <w:sz w:val="32"/>
          <w:szCs w:val="32"/>
        </w:rPr>
        <w:t>）酒精度</w:t>
      </w:r>
    </w:p>
    <w:p>
      <w:pPr>
        <w:spacing w:line="560" w:lineRule="exact"/>
        <w:ind w:firstLine="640" w:firstLineChars="200"/>
        <w:rPr>
          <w:rFonts w:hint="eastAsia" w:ascii="仿宋_GB2312" w:hAnsi="仿宋" w:eastAsia="仿宋_GB2312" w:cs="宋体"/>
          <w:color w:val="auto"/>
          <w:kern w:val="0"/>
          <w:sz w:val="32"/>
          <w:szCs w:val="32"/>
          <w:lang w:val="zh-CN"/>
        </w:rPr>
      </w:pPr>
      <w:r>
        <w:rPr>
          <w:rFonts w:hint="eastAsia" w:ascii="仿宋_GB2312" w:hAnsi="仿宋" w:eastAsia="仿宋_GB2312" w:cs="宋体"/>
          <w:color w:val="auto"/>
          <w:kern w:val="0"/>
          <w:sz w:val="32"/>
          <w:szCs w:val="32"/>
          <w:lang w:val="zh-CN"/>
        </w:rPr>
        <w:t>酒精度又叫酒度，是酒类的一个重要理化指标，是指在20℃时，100毫升酒中含有乙醇（酒精）的毫升数，即体积（容量）的百分数。《小曲固态法白酒》（GB/T 26761-2011）</w:t>
      </w:r>
      <w:r>
        <w:rPr>
          <w:rFonts w:hint="eastAsia" w:ascii="仿宋_GB2312" w:hAnsi="仿宋" w:eastAsia="仿宋_GB2312" w:cs="宋体"/>
          <w:color w:val="auto"/>
          <w:kern w:val="0"/>
          <w:sz w:val="32"/>
          <w:szCs w:val="32"/>
          <w:lang w:val="zh-CN"/>
        </w:rPr>
        <w:t>中规定，</w:t>
      </w:r>
      <w:r>
        <w:rPr>
          <w:rFonts w:hint="eastAsia" w:ascii="仿宋_GB2312" w:hAnsi="仿宋" w:cs="宋体"/>
          <w:color w:val="auto"/>
          <w:kern w:val="0"/>
          <w:sz w:val="32"/>
          <w:szCs w:val="32"/>
          <w:lang w:val="zh-CN"/>
        </w:rPr>
        <w:t>白酒</w:t>
      </w:r>
      <w:r>
        <w:rPr>
          <w:rFonts w:hint="eastAsia" w:ascii="仿宋_GB2312" w:hAnsi="仿宋" w:eastAsia="仿宋_GB2312" w:cs="宋体"/>
          <w:color w:val="auto"/>
          <w:kern w:val="0"/>
          <w:sz w:val="32"/>
          <w:szCs w:val="32"/>
          <w:lang w:val="zh-CN"/>
        </w:rPr>
        <w:t>实际酒精度应在标示值±1.0%vol的偏差范围内。酒中酒精度不达标会影响酒类的品质及口感，此外由于产品实际酒精度与明示指标不符也可能对消费者构成欺骗行为。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1"/>
          <w:rFonts w:ascii="楷体_GB2312" w:hAnsi="楷体" w:eastAsia="楷体_GB2312"/>
          <w:color w:val="auto"/>
          <w:sz w:val="32"/>
          <w:szCs w:val="32"/>
          <w:highlight w:val="none"/>
        </w:rPr>
      </w:pPr>
      <w:r>
        <w:rPr>
          <w:rFonts w:hint="eastAsia" w:ascii="楷体_GB2312" w:hAnsi="楷体" w:eastAsia="楷体_GB2312"/>
          <w:b/>
          <w:color w:val="auto"/>
          <w:sz w:val="32"/>
          <w:szCs w:val="32"/>
        </w:rPr>
        <w:t>（二）</w:t>
      </w:r>
      <w:r>
        <w:rPr>
          <w:rStyle w:val="11"/>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10D4506"/>
    <w:rsid w:val="017D0269"/>
    <w:rsid w:val="03E020C5"/>
    <w:rsid w:val="03FD00B3"/>
    <w:rsid w:val="055921C9"/>
    <w:rsid w:val="07C82C95"/>
    <w:rsid w:val="091C5D20"/>
    <w:rsid w:val="0A101FAB"/>
    <w:rsid w:val="0AEA5DCE"/>
    <w:rsid w:val="0C455D22"/>
    <w:rsid w:val="0C6F4539"/>
    <w:rsid w:val="0CD4225F"/>
    <w:rsid w:val="0EA93008"/>
    <w:rsid w:val="0EC839C2"/>
    <w:rsid w:val="10AD16A7"/>
    <w:rsid w:val="1162065F"/>
    <w:rsid w:val="11B32DA0"/>
    <w:rsid w:val="12AF7645"/>
    <w:rsid w:val="141B2394"/>
    <w:rsid w:val="155219D3"/>
    <w:rsid w:val="16396F4B"/>
    <w:rsid w:val="16A52765"/>
    <w:rsid w:val="176818BF"/>
    <w:rsid w:val="17FA5E44"/>
    <w:rsid w:val="181E6360"/>
    <w:rsid w:val="199008F8"/>
    <w:rsid w:val="19EB104A"/>
    <w:rsid w:val="1B042E72"/>
    <w:rsid w:val="1C2B3ECE"/>
    <w:rsid w:val="1F456A61"/>
    <w:rsid w:val="200B2815"/>
    <w:rsid w:val="231A399D"/>
    <w:rsid w:val="249A66FD"/>
    <w:rsid w:val="25D84592"/>
    <w:rsid w:val="274815F0"/>
    <w:rsid w:val="27D171E0"/>
    <w:rsid w:val="29292876"/>
    <w:rsid w:val="29DF09A6"/>
    <w:rsid w:val="2D2D024C"/>
    <w:rsid w:val="2DA27B95"/>
    <w:rsid w:val="2E172668"/>
    <w:rsid w:val="2FFC71C6"/>
    <w:rsid w:val="323F00BC"/>
    <w:rsid w:val="324700B2"/>
    <w:rsid w:val="348E513C"/>
    <w:rsid w:val="36A26439"/>
    <w:rsid w:val="38622AFA"/>
    <w:rsid w:val="387272BF"/>
    <w:rsid w:val="38865B2F"/>
    <w:rsid w:val="3B1904CB"/>
    <w:rsid w:val="3BAB1A67"/>
    <w:rsid w:val="3BFE4DC9"/>
    <w:rsid w:val="3CDD7A17"/>
    <w:rsid w:val="3E051E67"/>
    <w:rsid w:val="3E1079E4"/>
    <w:rsid w:val="3E88008E"/>
    <w:rsid w:val="3E984FE9"/>
    <w:rsid w:val="3EC80CDE"/>
    <w:rsid w:val="3F685D87"/>
    <w:rsid w:val="44141429"/>
    <w:rsid w:val="464A4562"/>
    <w:rsid w:val="4848609B"/>
    <w:rsid w:val="4864409A"/>
    <w:rsid w:val="48E60C18"/>
    <w:rsid w:val="49346CC6"/>
    <w:rsid w:val="4B37566A"/>
    <w:rsid w:val="4EBC0748"/>
    <w:rsid w:val="4FED4605"/>
    <w:rsid w:val="52A0415B"/>
    <w:rsid w:val="52FE47AC"/>
    <w:rsid w:val="533A17A5"/>
    <w:rsid w:val="53465E28"/>
    <w:rsid w:val="53FD7C6B"/>
    <w:rsid w:val="551B6EF1"/>
    <w:rsid w:val="59E33FF0"/>
    <w:rsid w:val="59EA54F5"/>
    <w:rsid w:val="5E214E94"/>
    <w:rsid w:val="5E7004E1"/>
    <w:rsid w:val="6048573D"/>
    <w:rsid w:val="62547A4D"/>
    <w:rsid w:val="63E10B0C"/>
    <w:rsid w:val="65E578BD"/>
    <w:rsid w:val="6792245C"/>
    <w:rsid w:val="6801069F"/>
    <w:rsid w:val="69130912"/>
    <w:rsid w:val="69CB77D8"/>
    <w:rsid w:val="6A323B2C"/>
    <w:rsid w:val="6C2646D1"/>
    <w:rsid w:val="6D731B27"/>
    <w:rsid w:val="6ECD36FF"/>
    <w:rsid w:val="6F1957D5"/>
    <w:rsid w:val="72A04A1F"/>
    <w:rsid w:val="72F24D9D"/>
    <w:rsid w:val="738026E3"/>
    <w:rsid w:val="75CA36CA"/>
    <w:rsid w:val="763955BF"/>
    <w:rsid w:val="77FC16E5"/>
    <w:rsid w:val="78FE0A2F"/>
    <w:rsid w:val="7A7C11A9"/>
    <w:rsid w:val="7B5E04A9"/>
    <w:rsid w:val="7C073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paragraph" w:customStyle="1" w:styleId="13">
    <w:name w:val="本文正文"/>
    <w:basedOn w:val="1"/>
    <w:qFormat/>
    <w:uiPriority w:val="0"/>
    <w:pPr>
      <w:spacing w:line="360" w:lineRule="auto"/>
      <w:ind w:firstLine="803"/>
    </w:pPr>
    <w:rPr>
      <w:rFonts w:ascii="宋体" w:hAnsi="宋体"/>
      <w:sz w:val="24"/>
    </w:rPr>
  </w:style>
  <w:style w:type="character" w:customStyle="1" w:styleId="14">
    <w:name w:val="页眉 字符"/>
    <w:basedOn w:val="10"/>
    <w:link w:val="7"/>
    <w:qFormat/>
    <w:uiPriority w:val="0"/>
    <w:rPr>
      <w:rFonts w:ascii="Calibri" w:hAnsi="Calibri" w:eastAsia="仿宋_GB2312"/>
      <w:kern w:val="2"/>
      <w:sz w:val="18"/>
      <w:szCs w:val="18"/>
    </w:rPr>
  </w:style>
  <w:style w:type="character" w:customStyle="1" w:styleId="15">
    <w:name w:val="页脚 字符"/>
    <w:basedOn w:val="10"/>
    <w:link w:val="6"/>
    <w:qFormat/>
    <w:uiPriority w:val="0"/>
    <w:rPr>
      <w:rFonts w:ascii="Calibri" w:hAnsi="Calibri" w:eastAsia="仿宋_GB2312"/>
      <w:kern w:val="2"/>
      <w:sz w:val="18"/>
      <w:szCs w:val="18"/>
    </w:rPr>
  </w:style>
  <w:style w:type="character" w:customStyle="1" w:styleId="16">
    <w:name w:val="标题 2 字符"/>
    <w:basedOn w:val="10"/>
    <w:link w:val="5"/>
    <w:semiHidden/>
    <w:qFormat/>
    <w:uiPriority w:val="0"/>
    <w:rPr>
      <w:rFonts w:asciiTheme="majorHAnsi" w:hAnsiTheme="majorHAnsi" w:eastAsiaTheme="majorEastAsia" w:cstheme="majorBidi"/>
      <w:b/>
      <w:bCs/>
      <w:kern w:val="2"/>
      <w:sz w:val="32"/>
      <w:szCs w:val="32"/>
    </w:rPr>
  </w:style>
  <w:style w:type="paragraph" w:customStyle="1" w:styleId="17">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6</TotalTime>
  <ScaleCrop>false</ScaleCrop>
  <LinksUpToDate>false</LinksUpToDate>
  <CharactersWithSpaces>4018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2021-04-06T08:32:56Z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2BCBADEB164F420AB7CA92621D404113</vt:lpwstr>
  </property>
</Properties>
</file>